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3AA2" w14:textId="0ABADB66" w:rsidR="002F7789" w:rsidRPr="00C54A99" w:rsidRDefault="00824DE2" w:rsidP="002F7789">
      <w:pPr>
        <w:jc w:val="center"/>
        <w:rPr>
          <w:b/>
          <w:bCs/>
          <w:sz w:val="32"/>
          <w:szCs w:val="32"/>
        </w:rPr>
      </w:pPr>
      <w:r w:rsidRPr="00C54A99">
        <w:rPr>
          <w:b/>
          <w:bCs/>
          <w:sz w:val="32"/>
          <w:szCs w:val="32"/>
        </w:rPr>
        <w:t>Załącznik A</w:t>
      </w:r>
    </w:p>
    <w:p w14:paraId="1D073DEF" w14:textId="3B1B1E08" w:rsidR="002F7789" w:rsidRPr="00C54A99" w:rsidRDefault="00824DE2" w:rsidP="002F7789">
      <w:pPr>
        <w:jc w:val="center"/>
        <w:rPr>
          <w:sz w:val="32"/>
          <w:szCs w:val="32"/>
        </w:rPr>
      </w:pPr>
      <w:r w:rsidRPr="00C54A99">
        <w:rPr>
          <w:sz w:val="32"/>
          <w:szCs w:val="32"/>
        </w:rPr>
        <w:t>Opis Przedmiotu Zamówienia</w:t>
      </w:r>
    </w:p>
    <w:p w14:paraId="571127C2" w14:textId="5EEF0615" w:rsidR="00F77C71" w:rsidRDefault="00824DE2" w:rsidP="00F77C71">
      <w:pPr>
        <w:jc w:val="left"/>
        <w:rPr>
          <w:b/>
          <w:bCs/>
          <w:sz w:val="32"/>
          <w:szCs w:val="32"/>
        </w:rPr>
      </w:pPr>
      <w:r w:rsidRPr="00C54A99">
        <w:rPr>
          <w:b/>
          <w:bCs/>
          <w:sz w:val="32"/>
          <w:szCs w:val="32"/>
        </w:rPr>
        <w:t>Część</w:t>
      </w:r>
      <w:r w:rsidR="00F77C71" w:rsidRPr="00C54A99">
        <w:rPr>
          <w:b/>
          <w:bCs/>
          <w:sz w:val="32"/>
          <w:szCs w:val="32"/>
        </w:rPr>
        <w:t xml:space="preserve"> 1:</w:t>
      </w:r>
    </w:p>
    <w:p w14:paraId="1116BB80" w14:textId="77777777" w:rsidR="00F01BBE" w:rsidRPr="00C54A99" w:rsidRDefault="00F01BBE" w:rsidP="00F77C71">
      <w:pPr>
        <w:jc w:val="left"/>
        <w:rPr>
          <w:b/>
          <w:bCs/>
          <w:sz w:val="32"/>
          <w:szCs w:val="32"/>
        </w:rPr>
      </w:pPr>
    </w:p>
    <w:p w14:paraId="646F69B4" w14:textId="6BE562C7" w:rsidR="00F77C71" w:rsidRPr="00A857E2" w:rsidRDefault="00A857E2" w:rsidP="00F77C71">
      <w:pPr>
        <w:jc w:val="center"/>
        <w:rPr>
          <w:sz w:val="32"/>
          <w:szCs w:val="32"/>
        </w:rPr>
      </w:pPr>
      <w:r w:rsidRPr="00A857E2">
        <w:rPr>
          <w:sz w:val="32"/>
          <w:szCs w:val="32"/>
        </w:rPr>
        <w:t xml:space="preserve">Hybrydowy Detektor zliczający fotony do </w:t>
      </w:r>
      <w:r w:rsidR="001E62A8" w:rsidRPr="00A857E2">
        <w:rPr>
          <w:sz w:val="32"/>
          <w:szCs w:val="32"/>
        </w:rPr>
        <w:t>krystalografii</w:t>
      </w:r>
      <w:r w:rsidRPr="00A857E2">
        <w:rPr>
          <w:sz w:val="32"/>
          <w:szCs w:val="32"/>
        </w:rPr>
        <w:t xml:space="preserve"> makromolek</w:t>
      </w:r>
      <w:r w:rsidR="001E62A8">
        <w:rPr>
          <w:sz w:val="32"/>
          <w:szCs w:val="32"/>
        </w:rPr>
        <w:t>u</w:t>
      </w:r>
      <w:r w:rsidRPr="00A857E2">
        <w:rPr>
          <w:sz w:val="32"/>
          <w:szCs w:val="32"/>
        </w:rPr>
        <w:t>ł dla linii SOLCRYS w NCPS SOLARIS</w:t>
      </w:r>
    </w:p>
    <w:p w14:paraId="4EBA8439" w14:textId="77777777" w:rsidR="00F77C71" w:rsidRPr="00A857E2" w:rsidRDefault="00F77C71" w:rsidP="002F7789">
      <w:pPr>
        <w:jc w:val="center"/>
        <w:rPr>
          <w:sz w:val="32"/>
          <w:szCs w:val="32"/>
        </w:rPr>
      </w:pPr>
    </w:p>
    <w:p w14:paraId="3D27413D" w14:textId="3809B824" w:rsidR="00F77C71" w:rsidRPr="00C54A99" w:rsidRDefault="00824DE2" w:rsidP="00F77C71">
      <w:pPr>
        <w:jc w:val="left"/>
        <w:rPr>
          <w:b/>
          <w:bCs/>
          <w:sz w:val="32"/>
          <w:szCs w:val="32"/>
        </w:rPr>
      </w:pPr>
      <w:r w:rsidRPr="00C54A99">
        <w:rPr>
          <w:b/>
          <w:bCs/>
          <w:sz w:val="32"/>
          <w:szCs w:val="32"/>
        </w:rPr>
        <w:t>Część</w:t>
      </w:r>
      <w:r w:rsidR="00F77C71" w:rsidRPr="00C54A99">
        <w:rPr>
          <w:b/>
          <w:bCs/>
          <w:sz w:val="32"/>
          <w:szCs w:val="32"/>
        </w:rPr>
        <w:t xml:space="preserve"> 2:</w:t>
      </w:r>
    </w:p>
    <w:p w14:paraId="0458C505" w14:textId="14E71B41" w:rsidR="00F77C71" w:rsidRPr="00A857E2" w:rsidRDefault="00A857E2" w:rsidP="00F77C7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Synchrotronowy </w:t>
      </w:r>
      <w:proofErr w:type="spellStart"/>
      <w:r>
        <w:rPr>
          <w:sz w:val="32"/>
          <w:szCs w:val="32"/>
        </w:rPr>
        <w:t>mikrodyfraktometr</w:t>
      </w:r>
      <w:proofErr w:type="spellEnd"/>
      <w:r w:rsidR="00F77C71" w:rsidRPr="00A857E2">
        <w:rPr>
          <w:sz w:val="32"/>
          <w:szCs w:val="32"/>
        </w:rPr>
        <w:t xml:space="preserve"> </w:t>
      </w:r>
      <w:r w:rsidRPr="00A857E2">
        <w:rPr>
          <w:sz w:val="32"/>
          <w:szCs w:val="32"/>
        </w:rPr>
        <w:t xml:space="preserve">do </w:t>
      </w:r>
      <w:r w:rsidR="001E62A8" w:rsidRPr="00A857E2">
        <w:rPr>
          <w:sz w:val="32"/>
          <w:szCs w:val="32"/>
        </w:rPr>
        <w:t>krystalografii</w:t>
      </w:r>
      <w:r w:rsidRPr="00A857E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białek </w:t>
      </w:r>
      <w:r w:rsidRPr="00A857E2">
        <w:rPr>
          <w:sz w:val="32"/>
          <w:szCs w:val="32"/>
        </w:rPr>
        <w:t>dla linii SOLCRYS w NCPS SOLARIS</w:t>
      </w:r>
    </w:p>
    <w:sdt>
      <w:sdtPr>
        <w:rPr>
          <w:rFonts w:ascii="Times New Roman" w:eastAsiaTheme="minorEastAsia" w:hAnsi="Times New Roman" w:cstheme="minorBidi"/>
          <w:b w:val="0"/>
          <w:bCs w:val="0"/>
          <w:color w:val="auto"/>
          <w:kern w:val="2"/>
          <w:sz w:val="24"/>
          <w:szCs w:val="24"/>
          <w:lang w:eastAsia="en-US"/>
          <w14:ligatures w14:val="standardContextual"/>
        </w:rPr>
        <w:id w:val="156736109"/>
        <w:docPartObj>
          <w:docPartGallery w:val="Table of Contents"/>
          <w:docPartUnique/>
        </w:docPartObj>
      </w:sdtPr>
      <w:sdtEndPr/>
      <w:sdtContent>
        <w:p w14:paraId="292A8134" w14:textId="73160686" w:rsidR="00683A08" w:rsidRDefault="00683A08" w:rsidP="00BB5D36">
          <w:pPr>
            <w:pStyle w:val="Nagwekspisutreci"/>
          </w:pPr>
        </w:p>
        <w:p w14:paraId="10A12EBA" w14:textId="18C2ECD5" w:rsidR="00BB5D36" w:rsidRDefault="00683A08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5789565" w:history="1">
            <w:r w:rsidR="00BB5D36" w:rsidRPr="00BB5D36">
              <w:rPr>
                <w:rStyle w:val="Hipercze"/>
                <w:b/>
                <w:bCs/>
                <w:noProof/>
              </w:rPr>
              <w:t>Część 1:</w:t>
            </w:r>
            <w:r w:rsidR="00BB5D36" w:rsidRPr="00BB5D36">
              <w:rPr>
                <w:b/>
                <w:bCs/>
                <w:noProof/>
                <w:webHidden/>
              </w:rPr>
              <w:tab/>
            </w:r>
            <w:r w:rsidR="00BB5D36" w:rsidRPr="00BB5D36">
              <w:rPr>
                <w:b/>
                <w:bCs/>
                <w:noProof/>
                <w:webHidden/>
              </w:rPr>
              <w:fldChar w:fldCharType="begin"/>
            </w:r>
            <w:r w:rsidR="00BB5D36" w:rsidRPr="00BB5D36">
              <w:rPr>
                <w:b/>
                <w:bCs/>
                <w:noProof/>
                <w:webHidden/>
              </w:rPr>
              <w:instrText xml:space="preserve"> PAGEREF _Toc195789565 \h </w:instrText>
            </w:r>
            <w:r w:rsidR="00BB5D36" w:rsidRPr="00BB5D36">
              <w:rPr>
                <w:b/>
                <w:bCs/>
                <w:noProof/>
                <w:webHidden/>
              </w:rPr>
            </w:r>
            <w:r w:rsidR="00BB5D36" w:rsidRPr="00BB5D36">
              <w:rPr>
                <w:b/>
                <w:bCs/>
                <w:noProof/>
                <w:webHidden/>
              </w:rPr>
              <w:fldChar w:fldCharType="separate"/>
            </w:r>
            <w:r w:rsidR="00BB5D36" w:rsidRPr="00BB5D36">
              <w:rPr>
                <w:b/>
                <w:bCs/>
                <w:noProof/>
                <w:webHidden/>
              </w:rPr>
              <w:t>3</w:t>
            </w:r>
            <w:r w:rsidR="00BB5D36" w:rsidRPr="00BB5D36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128A4F91" w14:textId="0FCEF25A" w:rsidR="00BB5D36" w:rsidRDefault="00BB5D36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66" w:history="1">
            <w:r w:rsidRPr="00B050D7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</w:rPr>
              <w:t>Informacje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1B37C7" w14:textId="2A09CAF4" w:rsidR="00BB5D36" w:rsidRDefault="00BB5D36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67" w:history="1">
            <w:r w:rsidRPr="00B050D7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</w:rPr>
              <w:t>Specyfikacja ogólna zakresu dostawy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37BFC9" w14:textId="0E20D70D" w:rsidR="00BB5D36" w:rsidRDefault="00BB5D36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68" w:history="1">
            <w:r w:rsidRPr="00B050D7">
              <w:rPr>
                <w:rStyle w:val="Hipercze"/>
                <w:noProof/>
                <w:lang w:val="en-US"/>
              </w:rPr>
              <w:t>2.1.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  <w:lang w:val="en-US"/>
              </w:rPr>
              <w:t>Specyfikacja techniczna detektora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C54A7A" w14:textId="4E1BC8ED" w:rsidR="00BB5D36" w:rsidRDefault="00BB5D36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69" w:history="1">
            <w:r w:rsidRPr="00B050D7">
              <w:rPr>
                <w:rStyle w:val="Hipercze"/>
                <w:noProof/>
                <w:lang w:val="en-GB"/>
              </w:rPr>
              <w:t>2.2.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  <w:lang w:val="en-GB"/>
              </w:rPr>
              <w:t>Jednostka sterująca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C6F698" w14:textId="3ECB2D45" w:rsidR="00BB5D36" w:rsidRDefault="00BB5D36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70" w:history="1">
            <w:r w:rsidRPr="00B050D7">
              <w:rPr>
                <w:rStyle w:val="Hipercze"/>
                <w:noProof/>
                <w:lang w:val="en-GB"/>
              </w:rPr>
              <w:t>2.3.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  <w:lang w:val="en-GB"/>
              </w:rPr>
              <w:t>Jednostka stabilizująca temperaturę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EF21F9" w14:textId="02CE19BF" w:rsidR="00BB5D36" w:rsidRDefault="00BB5D36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71" w:history="1">
            <w:r w:rsidRPr="00B050D7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</w:rPr>
              <w:t>Dodatkowe informacje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F737EE" w14:textId="661FC0F2" w:rsidR="00BB5D36" w:rsidRPr="00BB5D36" w:rsidRDefault="00BB5D36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/>
              <w:b/>
              <w:bCs/>
              <w:noProof/>
              <w:lang w:eastAsia="pl-PL"/>
            </w:rPr>
          </w:pPr>
          <w:hyperlink w:anchor="_Toc195789572" w:history="1">
            <w:r w:rsidRPr="00BB5D36">
              <w:rPr>
                <w:rStyle w:val="Hipercze"/>
                <w:b/>
                <w:bCs/>
                <w:noProof/>
              </w:rPr>
              <w:t>Część 2:</w:t>
            </w:r>
            <w:r w:rsidRPr="00BB5D36">
              <w:rPr>
                <w:b/>
                <w:bCs/>
                <w:noProof/>
                <w:webHidden/>
              </w:rPr>
              <w:tab/>
            </w:r>
            <w:r w:rsidRPr="00BB5D36">
              <w:rPr>
                <w:b/>
                <w:bCs/>
                <w:noProof/>
                <w:webHidden/>
              </w:rPr>
              <w:fldChar w:fldCharType="begin"/>
            </w:r>
            <w:r w:rsidRPr="00BB5D36">
              <w:rPr>
                <w:b/>
                <w:bCs/>
                <w:noProof/>
                <w:webHidden/>
              </w:rPr>
              <w:instrText xml:space="preserve"> PAGEREF _Toc195789572 \h </w:instrText>
            </w:r>
            <w:r w:rsidRPr="00BB5D36">
              <w:rPr>
                <w:b/>
                <w:bCs/>
                <w:noProof/>
                <w:webHidden/>
              </w:rPr>
            </w:r>
            <w:r w:rsidRPr="00BB5D36">
              <w:rPr>
                <w:b/>
                <w:bCs/>
                <w:noProof/>
                <w:webHidden/>
              </w:rPr>
              <w:fldChar w:fldCharType="separate"/>
            </w:r>
            <w:r w:rsidRPr="00BB5D36">
              <w:rPr>
                <w:b/>
                <w:bCs/>
                <w:noProof/>
                <w:webHidden/>
              </w:rPr>
              <w:t>6</w:t>
            </w:r>
            <w:r w:rsidRPr="00BB5D36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00298393" w14:textId="26340269" w:rsidR="00BB5D36" w:rsidRDefault="00BB5D36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73" w:history="1">
            <w:r w:rsidRPr="00B050D7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</w:rPr>
              <w:t>Informacje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A95746" w14:textId="3DD9441B" w:rsidR="00BB5D36" w:rsidRDefault="00BB5D36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74" w:history="1">
            <w:r w:rsidRPr="00B050D7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</w:rPr>
              <w:t>Specyfikacja ogólna i zakres dostawy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85ED1A" w14:textId="719CE11D" w:rsidR="00BB5D36" w:rsidRDefault="00BB5D36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75" w:history="1">
            <w:r w:rsidRPr="00B050D7">
              <w:rPr>
                <w:rStyle w:val="Hipercze"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</w:rPr>
              <w:t>Osie pozycjonowania próbki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E5CA0D" w14:textId="4AF6787D" w:rsidR="00BB5D36" w:rsidRDefault="00BB5D36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76" w:history="1">
            <w:r w:rsidRPr="00B050D7">
              <w:rPr>
                <w:rStyle w:val="Hipercze"/>
                <w:noProof/>
                <w:lang w:eastAsia="pl-PL"/>
              </w:rPr>
              <w:t>2.2.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  <w:lang w:eastAsia="pl-PL"/>
              </w:rPr>
              <w:t>Kondycjonowanie wiązki promieniowania 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8512C4" w14:textId="467E1E8A" w:rsidR="00BB5D36" w:rsidRDefault="00BB5D36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77" w:history="1">
            <w:r w:rsidRPr="00B050D7">
              <w:rPr>
                <w:rStyle w:val="Hipercze"/>
                <w:noProof/>
                <w:lang w:eastAsia="pl-PL"/>
              </w:rPr>
              <w:t>2.3.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  <w:lang w:eastAsia="pl-PL"/>
              </w:rPr>
              <w:t>Wizualizacja próbki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2DABF6" w14:textId="793179A8" w:rsidR="00BB5D36" w:rsidRDefault="00BB5D36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78" w:history="1">
            <w:r w:rsidRPr="00B050D7">
              <w:rPr>
                <w:rStyle w:val="Hipercze"/>
                <w:noProof/>
                <w:lang w:val="en-US" w:eastAsia="pl-PL"/>
              </w:rPr>
              <w:t xml:space="preserve">2.3.1. </w:t>
            </w:r>
            <w:r w:rsidRPr="00B050D7">
              <w:rPr>
                <w:rStyle w:val="Hipercze"/>
                <w:noProof/>
                <w:lang w:eastAsia="pl-PL"/>
              </w:rPr>
              <w:t>Mikroskop wideo w osi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2AF680" w14:textId="17804C78" w:rsidR="00BB5D36" w:rsidRDefault="00BB5D36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79" w:history="1">
            <w:r w:rsidRPr="00B050D7">
              <w:rPr>
                <w:rStyle w:val="Hipercze"/>
                <w:noProof/>
                <w:lang w:val="en-US" w:eastAsia="pl-PL"/>
              </w:rPr>
              <w:t>2.3.2. System oświetlenia tylnego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3F692F" w14:textId="05E7502E" w:rsidR="00BB5D36" w:rsidRDefault="00BB5D36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80" w:history="1">
            <w:r w:rsidRPr="00B050D7">
              <w:rPr>
                <w:rStyle w:val="Hipercze"/>
                <w:noProof/>
                <w:lang w:val="en-US" w:eastAsia="pl-PL"/>
              </w:rPr>
              <w:t xml:space="preserve">2.3.3. </w:t>
            </w:r>
            <w:r w:rsidRPr="00B050D7">
              <w:rPr>
                <w:rStyle w:val="Hipercze"/>
                <w:noProof/>
                <w:lang w:eastAsia="pl-PL"/>
              </w:rPr>
              <w:t>System oświetlenia przedniego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B3245D" w14:textId="49B25E5F" w:rsidR="00BB5D36" w:rsidRDefault="00BB5D36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81" w:history="1">
            <w:r w:rsidRPr="00B050D7">
              <w:rPr>
                <w:rStyle w:val="Hipercze"/>
                <w:noProof/>
                <w:lang w:eastAsia="pl-PL"/>
              </w:rPr>
              <w:t>2.4.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  <w:lang w:eastAsia="pl-PL"/>
              </w:rPr>
              <w:t>Główka goniometryczna Kappa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86DA07" w14:textId="6A9C196F" w:rsidR="00BB5D36" w:rsidRDefault="00BB5D36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82" w:history="1">
            <w:r w:rsidRPr="00B050D7">
              <w:rPr>
                <w:rStyle w:val="Hipercze"/>
                <w:noProof/>
                <w:lang w:val="en-GB" w:eastAsia="pl-PL"/>
              </w:rPr>
              <w:t>2.5.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  <w:lang w:val="en-GB" w:eastAsia="pl-PL"/>
              </w:rPr>
              <w:t>Mechanizm podtrzymujący kowadełko diamentowe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671B00" w14:textId="611D5B5A" w:rsidR="00BB5D36" w:rsidRDefault="00BB5D36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83" w:history="1">
            <w:r w:rsidRPr="00B050D7">
              <w:rPr>
                <w:rStyle w:val="Hipercze"/>
                <w:noProof/>
                <w:lang w:eastAsia="pl-PL"/>
              </w:rPr>
              <w:t>2.6.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  <w:lang w:eastAsia="pl-PL"/>
              </w:rPr>
              <w:t>Stolik pod detektor fluorescencji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83D4C0" w14:textId="7271FCFB" w:rsidR="00BB5D36" w:rsidRDefault="00BB5D36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84" w:history="1">
            <w:r w:rsidRPr="00B050D7">
              <w:rPr>
                <w:rStyle w:val="Hipercze"/>
                <w:noProof/>
                <w:lang w:eastAsia="pl-PL"/>
              </w:rPr>
              <w:t>2.7.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  <w:lang w:eastAsia="pl-PL"/>
              </w:rPr>
              <w:t>Migawka rentgenowska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858612" w14:textId="0D7849F4" w:rsidR="00BB5D36" w:rsidRDefault="00BB5D36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85" w:history="1">
            <w:r w:rsidRPr="00B050D7">
              <w:rPr>
                <w:rStyle w:val="Hipercze"/>
                <w:noProof/>
                <w:lang w:eastAsia="pl-PL"/>
              </w:rPr>
              <w:t>2.8.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  <w:lang w:eastAsia="pl-PL"/>
              </w:rPr>
              <w:t>Skrzynka interfejsu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751C7B" w14:textId="0DE99476" w:rsidR="00BB5D36" w:rsidRDefault="00BB5D36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86" w:history="1">
            <w:r w:rsidRPr="00B050D7">
              <w:rPr>
                <w:rStyle w:val="Hipercze"/>
                <w:noProof/>
              </w:rPr>
              <w:t>2.9.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</w:rPr>
              <w:t>Laser do pozycjonowania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D28083" w14:textId="19112816" w:rsidR="00BB5D36" w:rsidRDefault="00BB5D36">
          <w:pPr>
            <w:pStyle w:val="Spistreci2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87" w:history="1">
            <w:r w:rsidRPr="00B050D7">
              <w:rPr>
                <w:rStyle w:val="Hipercze"/>
                <w:noProof/>
                <w:lang w:eastAsia="pl-PL"/>
              </w:rPr>
              <w:t>2.10.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  <w:lang w:eastAsia="pl-PL"/>
              </w:rPr>
              <w:t>Kontrola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98F5A8" w14:textId="6B504597" w:rsidR="00BB5D36" w:rsidRDefault="00BB5D36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88" w:history="1">
            <w:r w:rsidRPr="00B050D7">
              <w:rPr>
                <w:rStyle w:val="Hipercze"/>
                <w:noProof/>
              </w:rPr>
              <w:t>3. Dodatkowe warunki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152697" w14:textId="6676CE2D" w:rsidR="00BB5D36" w:rsidRDefault="00BB5D36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89" w:history="1">
            <w:r w:rsidRPr="00B050D7">
              <w:rPr>
                <w:rStyle w:val="Hipercze"/>
                <w:noProof/>
                <w:lang w:eastAsia="pl-PL"/>
              </w:rPr>
              <w:t>3.1.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  <w:lang w:eastAsia="pl-PL"/>
              </w:rPr>
              <w:t>Projekt końcowy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7652A8" w14:textId="49BA5589" w:rsidR="00BB5D36" w:rsidRDefault="00BB5D36">
          <w:pPr>
            <w:pStyle w:val="Spistreci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95789590" w:history="1">
            <w:r w:rsidRPr="00B050D7">
              <w:rPr>
                <w:rStyle w:val="Hipercze"/>
                <w:noProof/>
                <w:lang w:eastAsia="pl-PL"/>
              </w:rPr>
              <w:t>3.2.</w:t>
            </w:r>
            <w:r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Pr="00B050D7">
              <w:rPr>
                <w:rStyle w:val="Hipercze"/>
                <w:noProof/>
                <w:lang w:eastAsia="pl-PL"/>
              </w:rPr>
              <w:t>Dostawa, instalacja i testy odbiorcze na miejscu.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_Toc195789590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4DF523" w14:textId="1A41F897" w:rsidR="00BB5D36" w:rsidRPr="00BB5D36" w:rsidRDefault="00BB5D36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/>
              <w:b/>
              <w:bCs/>
              <w:noProof/>
              <w:lang w:eastAsia="pl-PL"/>
            </w:rPr>
          </w:pPr>
          <w:hyperlink w:anchor="_Toc195789591" w:history="1">
            <w:r w:rsidRPr="00BB5D36">
              <w:rPr>
                <w:rStyle w:val="Hipercze"/>
                <w:b/>
                <w:bCs/>
                <w:noProof/>
              </w:rPr>
              <w:t>Załączniki</w:t>
            </w:r>
            <w:r w:rsidRPr="00BB5D36">
              <w:rPr>
                <w:b/>
                <w:bCs/>
                <w:noProof/>
                <w:webHidden/>
              </w:rPr>
              <w:tab/>
            </w:r>
            <w:r w:rsidRPr="00BB5D36">
              <w:rPr>
                <w:b/>
                <w:bCs/>
                <w:noProof/>
                <w:webHidden/>
              </w:rPr>
              <w:fldChar w:fldCharType="begin"/>
            </w:r>
            <w:r w:rsidRPr="00BB5D36">
              <w:rPr>
                <w:b/>
                <w:bCs/>
                <w:noProof/>
                <w:webHidden/>
              </w:rPr>
              <w:instrText xml:space="preserve"> PAGEREF _Toc195789591 \h </w:instrText>
            </w:r>
            <w:r w:rsidRPr="00BB5D36">
              <w:rPr>
                <w:b/>
                <w:bCs/>
                <w:noProof/>
                <w:webHidden/>
              </w:rPr>
            </w:r>
            <w:r w:rsidRPr="00BB5D36">
              <w:rPr>
                <w:b/>
                <w:bCs/>
                <w:noProof/>
                <w:webHidden/>
              </w:rPr>
              <w:fldChar w:fldCharType="separate"/>
            </w:r>
            <w:r w:rsidRPr="00BB5D36">
              <w:rPr>
                <w:b/>
                <w:bCs/>
                <w:noProof/>
                <w:webHidden/>
              </w:rPr>
              <w:t>14</w:t>
            </w:r>
            <w:r w:rsidRPr="00BB5D36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5EAB628F" w14:textId="08C20E2B" w:rsidR="00683A08" w:rsidRDefault="00683A08">
          <w:r>
            <w:rPr>
              <w:b/>
              <w:bCs/>
            </w:rPr>
            <w:fldChar w:fldCharType="end"/>
          </w:r>
        </w:p>
      </w:sdtContent>
    </w:sdt>
    <w:p w14:paraId="6976AD95" w14:textId="4538E432" w:rsidR="00F77C71" w:rsidRPr="00F77C71" w:rsidRDefault="00683A08">
      <w:pPr>
        <w:spacing w:line="278" w:lineRule="auto"/>
        <w:jc w:val="left"/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09857F7A" w14:textId="5CF341D2" w:rsidR="002F7789" w:rsidRPr="00F77C71" w:rsidRDefault="00A857E2" w:rsidP="00BB5D36">
      <w:pPr>
        <w:pStyle w:val="Nagwek1"/>
      </w:pPr>
      <w:bookmarkStart w:id="0" w:name="_Toc195789565"/>
      <w:r>
        <w:lastRenderedPageBreak/>
        <w:t>Część</w:t>
      </w:r>
      <w:r w:rsidR="00F77C71" w:rsidRPr="00061743">
        <w:t xml:space="preserve"> 1</w:t>
      </w:r>
      <w:r w:rsidR="00F77C71" w:rsidRPr="00F77C71">
        <w:t>:</w:t>
      </w:r>
      <w:bookmarkEnd w:id="0"/>
      <w:r w:rsidR="00F77C71" w:rsidRPr="00F77C71">
        <w:t xml:space="preserve"> </w:t>
      </w:r>
    </w:p>
    <w:p w14:paraId="6178198D" w14:textId="360938DC" w:rsidR="002F7789" w:rsidRDefault="00A857E2" w:rsidP="00BB5D36">
      <w:pPr>
        <w:pStyle w:val="Nagwek1"/>
        <w:numPr>
          <w:ilvl w:val="0"/>
          <w:numId w:val="1"/>
        </w:numPr>
      </w:pPr>
      <w:bookmarkStart w:id="1" w:name="_Toc195789566"/>
      <w:r>
        <w:t>Informacje ogólne</w:t>
      </w:r>
      <w:bookmarkEnd w:id="1"/>
      <w:r>
        <w:t xml:space="preserve"> </w:t>
      </w:r>
    </w:p>
    <w:p w14:paraId="577912D5" w14:textId="7C9E389A" w:rsidR="002F7789" w:rsidRPr="001E62A8" w:rsidRDefault="001E62A8" w:rsidP="002F7789">
      <w:pPr>
        <w:ind w:firstLine="360"/>
      </w:pPr>
      <w:r>
        <w:t xml:space="preserve">Celem niniejszego przetargu jest </w:t>
      </w:r>
      <w:r w:rsidR="2F49C330">
        <w:t>wykonanie</w:t>
      </w:r>
      <w:r>
        <w:t>, dostawa i instalacja hybrydowego detektora zliczającego fotony do krystalografii rentgenowskiej makromolekuł. Urządzenie zostanie zainstalowane na linii SOLCRYS (ARYA) w Narodowym Centrum Promieniowania Synchrotronowego SOLARIS w Krakowie, w Polsce</w:t>
      </w:r>
      <w:r w:rsidR="002F7789">
        <w:t xml:space="preserve">. </w:t>
      </w:r>
    </w:p>
    <w:p w14:paraId="5AD462B3" w14:textId="71C5E16E" w:rsidR="002F7789" w:rsidRPr="00BA7E41" w:rsidRDefault="007D1786" w:rsidP="002F7789">
      <w:pPr>
        <w:ind w:firstLine="360"/>
      </w:pPr>
      <w:r w:rsidRPr="007D1786">
        <w:t xml:space="preserve">Linia SOLCRYS (ARYA) dedykowana jest rentgenowskiej krystalografii makromolekularnej (MX) z wykorzystaniem promieniowania synchrotronowego w zakresie energii około 4–22 </w:t>
      </w:r>
      <w:proofErr w:type="spellStart"/>
      <w:r w:rsidRPr="007D1786">
        <w:t>keV</w:t>
      </w:r>
      <w:proofErr w:type="spellEnd"/>
      <w:r w:rsidRPr="007D1786">
        <w:t>. Stacja końcowa ma być używana głównie do eksperymentów dyfrakcyjnych na makromolekułach, wykonywanych w trybie zbierania danych „high-</w:t>
      </w:r>
      <w:proofErr w:type="spellStart"/>
      <w:r w:rsidRPr="007D1786">
        <w:t>flux</w:t>
      </w:r>
      <w:proofErr w:type="spellEnd"/>
      <w:r w:rsidRPr="007D1786">
        <w:t>”, oraz do pomiarów MX o wysokiej rozdzielczości energetycznej (w tym eksperymentów ze rozproszeniem anomalnym)</w:t>
      </w:r>
      <w:r w:rsidR="002F7789" w:rsidRPr="007D1786">
        <w:t xml:space="preserve">. </w:t>
      </w:r>
      <w:r w:rsidR="00BA7E41" w:rsidRPr="00BA7E41">
        <w:t>Przewidywane parametry techniczne linii znajdują się w Tabeli</w:t>
      </w:r>
      <w:r w:rsidR="002F7789" w:rsidRPr="00BA7E41">
        <w:t xml:space="preserve"> 1. </w:t>
      </w:r>
    </w:p>
    <w:p w14:paraId="20DB4765" w14:textId="50C66FB7" w:rsidR="002F7789" w:rsidRPr="00BA7E41" w:rsidRDefault="002F7789" w:rsidP="002F7789">
      <w:pPr>
        <w:pStyle w:val="Podpistabela"/>
        <w:rPr>
          <w:b/>
          <w:bCs/>
          <w:lang w:val="pl-PL"/>
        </w:rPr>
      </w:pPr>
      <w:r w:rsidRPr="00BA7E41">
        <w:rPr>
          <w:b/>
          <w:bCs/>
          <w:lang w:val="pl-PL"/>
        </w:rPr>
        <w:t>Tab</w:t>
      </w:r>
      <w:r w:rsidR="00BA7E41" w:rsidRPr="00BA7E41">
        <w:rPr>
          <w:b/>
          <w:bCs/>
          <w:lang w:val="pl-PL"/>
        </w:rPr>
        <w:t>ela</w:t>
      </w:r>
      <w:r w:rsidRPr="00BA7E41">
        <w:rPr>
          <w:b/>
          <w:bCs/>
          <w:lang w:val="pl-PL"/>
        </w:rPr>
        <w:t xml:space="preserve"> </w:t>
      </w:r>
      <w:r w:rsidRPr="00147095">
        <w:rPr>
          <w:b/>
          <w:bCs/>
          <w:lang w:val="en-US"/>
        </w:rPr>
        <w:fldChar w:fldCharType="begin"/>
      </w:r>
      <w:r w:rsidRPr="00BA7E41">
        <w:rPr>
          <w:b/>
          <w:bCs/>
          <w:lang w:val="pl-PL"/>
        </w:rPr>
        <w:instrText xml:space="preserve"> SEQ Table \* ARABIC </w:instrText>
      </w:r>
      <w:r w:rsidRPr="00147095">
        <w:rPr>
          <w:b/>
          <w:bCs/>
          <w:lang w:val="en-US"/>
        </w:rPr>
        <w:fldChar w:fldCharType="separate"/>
      </w:r>
      <w:r w:rsidRPr="00BA7E41">
        <w:rPr>
          <w:b/>
          <w:bCs/>
          <w:noProof/>
          <w:lang w:val="pl-PL"/>
        </w:rPr>
        <w:t>1</w:t>
      </w:r>
      <w:r w:rsidRPr="00147095">
        <w:rPr>
          <w:b/>
          <w:bCs/>
          <w:lang w:val="en-US"/>
        </w:rPr>
        <w:fldChar w:fldCharType="end"/>
      </w:r>
      <w:r w:rsidRPr="00BA7E41">
        <w:rPr>
          <w:b/>
          <w:bCs/>
          <w:lang w:val="pl-PL"/>
        </w:rPr>
        <w:t>.</w:t>
      </w:r>
      <w:r w:rsidR="00BA7E41" w:rsidRPr="00BA7E41">
        <w:rPr>
          <w:b/>
          <w:bCs/>
          <w:lang w:val="pl-PL"/>
        </w:rPr>
        <w:t>Przewidywane p</w:t>
      </w:r>
      <w:r w:rsidR="00BA7E41">
        <w:rPr>
          <w:b/>
          <w:bCs/>
          <w:lang w:val="pl-PL"/>
        </w:rPr>
        <w:t>arametry techniczne linii</w:t>
      </w:r>
      <w:r w:rsidRPr="00BA7E41">
        <w:rPr>
          <w:b/>
          <w:bCs/>
          <w:lang w:val="pl-PL"/>
        </w:rPr>
        <w:t xml:space="preserve"> SOLCRYS.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2126"/>
      </w:tblGrid>
      <w:tr w:rsidR="002F7789" w:rsidRPr="00770FBF" w14:paraId="31E33F5B" w14:textId="77777777" w:rsidTr="00710492">
        <w:trPr>
          <w:trHeight w:val="300"/>
          <w:jc w:val="center"/>
        </w:trPr>
        <w:tc>
          <w:tcPr>
            <w:tcW w:w="2972" w:type="dxa"/>
            <w:vAlign w:val="center"/>
          </w:tcPr>
          <w:p w14:paraId="174EA36B" w14:textId="497365D0" w:rsidR="002F7789" w:rsidRPr="00770FBF" w:rsidRDefault="00BA7E41" w:rsidP="00710492">
            <w:pPr>
              <w:jc w:val="left"/>
              <w:rPr>
                <w:rFonts w:cs="Times New Roman"/>
                <w:lang w:val="en-US"/>
              </w:rPr>
            </w:pPr>
            <w:proofErr w:type="spellStart"/>
            <w:r>
              <w:rPr>
                <w:rFonts w:cs="Times New Roman"/>
                <w:lang w:val="en-US"/>
              </w:rPr>
              <w:t>Zakres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energii</w:t>
            </w:r>
            <w:proofErr w:type="spellEnd"/>
          </w:p>
        </w:tc>
        <w:tc>
          <w:tcPr>
            <w:tcW w:w="2126" w:type="dxa"/>
            <w:vAlign w:val="center"/>
          </w:tcPr>
          <w:p w14:paraId="3EDFFC6A" w14:textId="77777777" w:rsidR="002F7789" w:rsidRPr="00770FBF" w:rsidRDefault="002F7789" w:rsidP="00710492">
            <w:pPr>
              <w:jc w:val="left"/>
              <w:rPr>
                <w:rFonts w:cs="Times New Roman"/>
                <w:lang w:val="en-US"/>
              </w:rPr>
            </w:pPr>
            <w:r w:rsidRPr="00770FBF">
              <w:rPr>
                <w:rFonts w:cs="Times New Roman"/>
                <w:lang w:val="en-US"/>
              </w:rPr>
              <w:t>4-22 keV</w:t>
            </w:r>
          </w:p>
        </w:tc>
      </w:tr>
      <w:tr w:rsidR="002F7789" w:rsidRPr="00770FBF" w14:paraId="21B89515" w14:textId="77777777" w:rsidTr="00710492">
        <w:trPr>
          <w:trHeight w:val="300"/>
          <w:jc w:val="center"/>
        </w:trPr>
        <w:tc>
          <w:tcPr>
            <w:tcW w:w="2972" w:type="dxa"/>
            <w:vAlign w:val="center"/>
          </w:tcPr>
          <w:p w14:paraId="76025F85" w14:textId="76CAAC4C" w:rsidR="002F7789" w:rsidRPr="00BA7E41" w:rsidRDefault="00BA7E41" w:rsidP="00710492">
            <w:pPr>
              <w:jc w:val="left"/>
              <w:rPr>
                <w:rFonts w:cs="Times New Roman"/>
              </w:rPr>
            </w:pPr>
            <w:r w:rsidRPr="00BA7E41">
              <w:rPr>
                <w:rFonts w:cs="Times New Roman"/>
              </w:rPr>
              <w:t>Wielkość wiązki w pozycji p</w:t>
            </w:r>
            <w:r>
              <w:rPr>
                <w:rFonts w:cs="Times New Roman"/>
              </w:rPr>
              <w:t>róbki</w:t>
            </w:r>
          </w:p>
        </w:tc>
        <w:tc>
          <w:tcPr>
            <w:tcW w:w="2126" w:type="dxa"/>
            <w:vAlign w:val="center"/>
          </w:tcPr>
          <w:p w14:paraId="54176CDF" w14:textId="77777777" w:rsidR="002F7789" w:rsidRPr="00770FBF" w:rsidRDefault="002F7789" w:rsidP="00710492">
            <w:pPr>
              <w:jc w:val="left"/>
              <w:rPr>
                <w:rFonts w:cs="Times New Roman"/>
                <w:lang w:val="en-US"/>
              </w:rPr>
            </w:pPr>
            <w:r w:rsidRPr="00770FBF">
              <w:rPr>
                <w:rFonts w:cs="Times New Roman"/>
                <w:lang w:val="en-US"/>
              </w:rPr>
              <w:t>260 x 80 µm</w:t>
            </w:r>
          </w:p>
        </w:tc>
      </w:tr>
      <w:tr w:rsidR="002F7789" w:rsidRPr="00770FBF" w14:paraId="099CA69C" w14:textId="77777777" w:rsidTr="00710492">
        <w:trPr>
          <w:trHeight w:val="300"/>
          <w:jc w:val="center"/>
        </w:trPr>
        <w:tc>
          <w:tcPr>
            <w:tcW w:w="2972" w:type="dxa"/>
            <w:vAlign w:val="center"/>
          </w:tcPr>
          <w:p w14:paraId="413C19F3" w14:textId="1A0D0FDF" w:rsidR="002F7789" w:rsidRPr="00BA7E41" w:rsidRDefault="00BA7E41" w:rsidP="00710492">
            <w:pPr>
              <w:jc w:val="left"/>
              <w:rPr>
                <w:rFonts w:cs="Times New Roman"/>
              </w:rPr>
            </w:pPr>
            <w:r w:rsidRPr="00BA7E41">
              <w:rPr>
                <w:rFonts w:cs="Times New Roman"/>
              </w:rPr>
              <w:t>Tryb wysokiej rozdzielczości</w:t>
            </w:r>
            <w:r w:rsidR="002F7789" w:rsidRPr="00BA7E41">
              <w:rPr>
                <w:rFonts w:cs="Times New Roman"/>
              </w:rPr>
              <w:t xml:space="preserve"> </w:t>
            </w:r>
            <w:r w:rsidR="002F7789" w:rsidRPr="00BA7E41">
              <w:rPr>
                <w:rFonts w:cs="Times New Roman"/>
              </w:rPr>
              <w:br/>
              <w:t xml:space="preserve">- </w:t>
            </w:r>
            <w:proofErr w:type="spellStart"/>
            <w:r w:rsidR="002F7789" w:rsidRPr="00BA7E41">
              <w:rPr>
                <w:rFonts w:cs="Times New Roman"/>
              </w:rPr>
              <w:t>flux</w:t>
            </w:r>
            <w:proofErr w:type="spellEnd"/>
            <w:r w:rsidR="002F7789" w:rsidRPr="00BA7E41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przy</w:t>
            </w:r>
            <w:r w:rsidR="002F7789" w:rsidRPr="00BA7E41">
              <w:rPr>
                <w:rFonts w:cs="Times New Roman"/>
              </w:rPr>
              <w:t xml:space="preserve"> 12 </w:t>
            </w:r>
            <w:proofErr w:type="spellStart"/>
            <w:r w:rsidR="002F7789" w:rsidRPr="00BA7E41">
              <w:rPr>
                <w:rFonts w:cs="Times New Roman"/>
              </w:rPr>
              <w:t>keV</w:t>
            </w:r>
            <w:proofErr w:type="spellEnd"/>
            <w:r w:rsidR="002F7789" w:rsidRPr="00BA7E41">
              <w:rPr>
                <w:rFonts w:cs="Times New Roman"/>
              </w:rPr>
              <w:br/>
              <w:t xml:space="preserve">- </w:t>
            </w:r>
            <w:r>
              <w:rPr>
                <w:rFonts w:cs="Times New Roman"/>
              </w:rPr>
              <w:t>rozdzielczość energetyczna</w:t>
            </w:r>
          </w:p>
        </w:tc>
        <w:tc>
          <w:tcPr>
            <w:tcW w:w="2126" w:type="dxa"/>
            <w:vAlign w:val="center"/>
          </w:tcPr>
          <w:p w14:paraId="39BC5885" w14:textId="77777777" w:rsidR="002F7789" w:rsidRPr="00770FBF" w:rsidRDefault="002F7789" w:rsidP="00710492">
            <w:pPr>
              <w:jc w:val="left"/>
              <w:rPr>
                <w:rFonts w:cs="Times New Roman"/>
                <w:lang w:val="en-US"/>
              </w:rPr>
            </w:pPr>
            <w:r w:rsidRPr="00BA7E41">
              <w:rPr>
                <w:rFonts w:cs="Times New Roman"/>
              </w:rPr>
              <w:br/>
            </w:r>
            <w:r w:rsidRPr="00770FBF">
              <w:rPr>
                <w:rFonts w:cs="Times New Roman"/>
                <w:lang w:val="en-US"/>
              </w:rPr>
              <w:t>~10</w:t>
            </w:r>
            <w:r w:rsidRPr="00770FBF">
              <w:rPr>
                <w:rFonts w:cs="Times New Roman"/>
                <w:vertAlign w:val="superscript"/>
                <w:lang w:val="en-US"/>
              </w:rPr>
              <w:t>12</w:t>
            </w:r>
            <w:r w:rsidRPr="00770FBF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770FBF">
              <w:rPr>
                <w:rFonts w:cs="Times New Roman"/>
                <w:lang w:val="en-US"/>
              </w:rPr>
              <w:t>ph</w:t>
            </w:r>
            <w:proofErr w:type="spellEnd"/>
            <w:r w:rsidRPr="00770FBF">
              <w:rPr>
                <w:rFonts w:cs="Times New Roman"/>
                <w:lang w:val="en-US"/>
              </w:rPr>
              <w:t>/s</w:t>
            </w:r>
            <w:r w:rsidRPr="00770FBF">
              <w:rPr>
                <w:rFonts w:cs="Times New Roman"/>
                <w:lang w:val="en-US"/>
              </w:rPr>
              <w:br/>
            </w:r>
            <w:r w:rsidRPr="00770FBF">
              <w:rPr>
                <w:rFonts w:eastAsia="Calibri" w:cs="Times New Roman"/>
                <w:lang w:val="en-US"/>
              </w:rPr>
              <w:t>1.4x10</w:t>
            </w:r>
            <w:r w:rsidRPr="00770FBF">
              <w:rPr>
                <w:rFonts w:eastAsia="Calibri" w:cs="Times New Roman"/>
                <w:vertAlign w:val="superscript"/>
                <w:lang w:val="en-US"/>
              </w:rPr>
              <w:t>-4</w:t>
            </w:r>
            <w:r w:rsidRPr="00770FBF">
              <w:rPr>
                <w:rFonts w:eastAsia="Calibri" w:cs="Times New Roman"/>
                <w:lang w:val="en-US"/>
              </w:rPr>
              <w:t xml:space="preserve"> (</w:t>
            </w:r>
            <w:r w:rsidRPr="00770FBF">
              <w:rPr>
                <w:rFonts w:cs="Times New Roman"/>
                <w:color w:val="444444"/>
                <w:sz w:val="21"/>
                <w:szCs w:val="21"/>
                <w:lang w:val="en-US"/>
              </w:rPr>
              <w:t>ΔE/E)</w:t>
            </w:r>
          </w:p>
        </w:tc>
      </w:tr>
      <w:tr w:rsidR="002F7789" w:rsidRPr="00770FBF" w14:paraId="33901AF1" w14:textId="77777777" w:rsidTr="00710492">
        <w:trPr>
          <w:trHeight w:val="300"/>
          <w:jc w:val="center"/>
        </w:trPr>
        <w:tc>
          <w:tcPr>
            <w:tcW w:w="2972" w:type="dxa"/>
            <w:vAlign w:val="center"/>
          </w:tcPr>
          <w:p w14:paraId="59B05C4D" w14:textId="55CD94BD" w:rsidR="002F7789" w:rsidRPr="00BA7E41" w:rsidRDefault="00BA7E41" w:rsidP="00710492">
            <w:pPr>
              <w:jc w:val="left"/>
              <w:rPr>
                <w:rFonts w:cs="Times New Roman"/>
              </w:rPr>
            </w:pPr>
            <w:r w:rsidRPr="00BA7E41">
              <w:rPr>
                <w:rFonts w:cs="Times New Roman"/>
              </w:rPr>
              <w:t>Tryb wysokie</w:t>
            </w:r>
            <w:r>
              <w:rPr>
                <w:rFonts w:cs="Times New Roman"/>
              </w:rPr>
              <w:t>go</w:t>
            </w:r>
            <w:r w:rsidRPr="00BA7E41"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fluxu</w:t>
            </w:r>
            <w:proofErr w:type="spellEnd"/>
            <w:r w:rsidRPr="00BA7E41">
              <w:rPr>
                <w:rFonts w:cs="Times New Roman"/>
              </w:rPr>
              <w:t xml:space="preserve"> </w:t>
            </w:r>
            <w:r w:rsidRPr="00BA7E41">
              <w:rPr>
                <w:rFonts w:cs="Times New Roman"/>
              </w:rPr>
              <w:br/>
              <w:t xml:space="preserve">- </w:t>
            </w:r>
            <w:proofErr w:type="spellStart"/>
            <w:r w:rsidRPr="00BA7E41">
              <w:rPr>
                <w:rFonts w:cs="Times New Roman"/>
              </w:rPr>
              <w:t>flux</w:t>
            </w:r>
            <w:proofErr w:type="spellEnd"/>
            <w:r w:rsidRPr="00BA7E41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przy</w:t>
            </w:r>
            <w:r w:rsidRPr="00BA7E41">
              <w:rPr>
                <w:rFonts w:cs="Times New Roman"/>
              </w:rPr>
              <w:t xml:space="preserve"> 12 </w:t>
            </w:r>
            <w:proofErr w:type="spellStart"/>
            <w:r w:rsidRPr="00BA7E41">
              <w:rPr>
                <w:rFonts w:cs="Times New Roman"/>
              </w:rPr>
              <w:t>keV</w:t>
            </w:r>
            <w:proofErr w:type="spellEnd"/>
            <w:r w:rsidRPr="00BA7E41">
              <w:rPr>
                <w:rFonts w:cs="Times New Roman"/>
              </w:rPr>
              <w:br/>
              <w:t xml:space="preserve">- </w:t>
            </w:r>
            <w:r>
              <w:rPr>
                <w:rFonts w:cs="Times New Roman"/>
              </w:rPr>
              <w:t>rozdzielczość energetyczna</w:t>
            </w:r>
          </w:p>
        </w:tc>
        <w:tc>
          <w:tcPr>
            <w:tcW w:w="2126" w:type="dxa"/>
            <w:vAlign w:val="center"/>
          </w:tcPr>
          <w:p w14:paraId="5DD1E790" w14:textId="77777777" w:rsidR="002F7789" w:rsidRPr="00BA7E41" w:rsidRDefault="002F7789" w:rsidP="00710492">
            <w:pPr>
              <w:jc w:val="left"/>
              <w:rPr>
                <w:rFonts w:cs="Times New Roman"/>
              </w:rPr>
            </w:pPr>
          </w:p>
          <w:p w14:paraId="58AD673D" w14:textId="77777777" w:rsidR="002F7789" w:rsidRPr="00770FBF" w:rsidRDefault="002F7789" w:rsidP="00710492">
            <w:pPr>
              <w:jc w:val="left"/>
              <w:rPr>
                <w:rFonts w:cs="Times New Roman"/>
                <w:lang w:val="en-US"/>
              </w:rPr>
            </w:pPr>
            <w:r w:rsidRPr="00770FBF">
              <w:rPr>
                <w:rFonts w:cs="Times New Roman"/>
                <w:lang w:val="en-US"/>
              </w:rPr>
              <w:t>~10</w:t>
            </w:r>
            <w:r w:rsidRPr="00770FBF">
              <w:rPr>
                <w:rFonts w:cs="Times New Roman"/>
                <w:vertAlign w:val="superscript"/>
                <w:lang w:val="en-US"/>
              </w:rPr>
              <w:t>13</w:t>
            </w:r>
            <w:r w:rsidRPr="00770FBF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770FBF">
              <w:rPr>
                <w:rFonts w:cs="Times New Roman"/>
                <w:lang w:val="en-US"/>
              </w:rPr>
              <w:t>ph</w:t>
            </w:r>
            <w:proofErr w:type="spellEnd"/>
            <w:r w:rsidRPr="00770FBF">
              <w:rPr>
                <w:rFonts w:cs="Times New Roman"/>
                <w:lang w:val="en-US"/>
              </w:rPr>
              <w:t>/s</w:t>
            </w:r>
          </w:p>
          <w:p w14:paraId="0F5E6688" w14:textId="77777777" w:rsidR="002F7789" w:rsidRPr="00770FBF" w:rsidRDefault="002F7789" w:rsidP="00710492">
            <w:pPr>
              <w:jc w:val="left"/>
              <w:rPr>
                <w:rFonts w:cs="Times New Roman"/>
                <w:lang w:val="en-US"/>
              </w:rPr>
            </w:pPr>
            <w:r w:rsidRPr="00770FBF">
              <w:rPr>
                <w:rFonts w:cs="Times New Roman"/>
                <w:lang w:val="en-US"/>
              </w:rPr>
              <w:t xml:space="preserve"> 0.5-1% (</w:t>
            </w:r>
            <w:r w:rsidRPr="00770FBF">
              <w:rPr>
                <w:rFonts w:cs="Times New Roman"/>
                <w:color w:val="444444"/>
                <w:sz w:val="21"/>
                <w:szCs w:val="21"/>
                <w:lang w:val="en-US"/>
              </w:rPr>
              <w:t>ΔE/E)</w:t>
            </w:r>
          </w:p>
        </w:tc>
      </w:tr>
      <w:tr w:rsidR="002F7789" w:rsidRPr="00770FBF" w14:paraId="6DEB4485" w14:textId="77777777" w:rsidTr="00710492">
        <w:trPr>
          <w:trHeight w:val="300"/>
          <w:jc w:val="center"/>
        </w:trPr>
        <w:tc>
          <w:tcPr>
            <w:tcW w:w="2972" w:type="dxa"/>
            <w:vAlign w:val="center"/>
          </w:tcPr>
          <w:p w14:paraId="3A66577C" w14:textId="46C8B764" w:rsidR="002F7789" w:rsidRPr="00770FBF" w:rsidRDefault="00BA7E41" w:rsidP="00710492">
            <w:pPr>
              <w:jc w:val="left"/>
              <w:rPr>
                <w:rFonts w:cs="Times New Roman"/>
                <w:lang w:val="en-US"/>
              </w:rPr>
            </w:pPr>
            <w:proofErr w:type="spellStart"/>
            <w:r>
              <w:rPr>
                <w:rFonts w:cs="Times New Roman"/>
                <w:lang w:val="en-US"/>
              </w:rPr>
              <w:t>Dywergencja</w:t>
            </w:r>
            <w:proofErr w:type="spellEnd"/>
          </w:p>
        </w:tc>
        <w:tc>
          <w:tcPr>
            <w:tcW w:w="2126" w:type="dxa"/>
            <w:vAlign w:val="center"/>
          </w:tcPr>
          <w:p w14:paraId="0336F1EA" w14:textId="77777777" w:rsidR="002F7789" w:rsidRPr="00770FBF" w:rsidRDefault="002F7789" w:rsidP="00710492">
            <w:pPr>
              <w:jc w:val="left"/>
              <w:rPr>
                <w:rFonts w:cs="Times New Roman"/>
                <w:lang w:val="en-US"/>
              </w:rPr>
            </w:pPr>
            <w:r w:rsidRPr="00770FBF">
              <w:rPr>
                <w:rFonts w:cs="Times New Roman"/>
                <w:lang w:val="en-US"/>
              </w:rPr>
              <w:t xml:space="preserve">1.9 </w:t>
            </w:r>
            <w:proofErr w:type="spellStart"/>
            <w:r w:rsidRPr="00770FBF">
              <w:rPr>
                <w:rFonts w:cs="Times New Roman"/>
                <w:lang w:val="en-US"/>
              </w:rPr>
              <w:t>mrad</w:t>
            </w:r>
            <w:proofErr w:type="spellEnd"/>
            <w:r w:rsidRPr="00770FBF">
              <w:rPr>
                <w:rFonts w:cs="Times New Roman"/>
                <w:lang w:val="en-US"/>
              </w:rPr>
              <w:t xml:space="preserve"> x 0.3 </w:t>
            </w:r>
            <w:proofErr w:type="spellStart"/>
            <w:r w:rsidRPr="00770FBF">
              <w:rPr>
                <w:rFonts w:cs="Times New Roman"/>
                <w:lang w:val="en-US"/>
              </w:rPr>
              <w:t>mrad</w:t>
            </w:r>
            <w:proofErr w:type="spellEnd"/>
          </w:p>
        </w:tc>
      </w:tr>
      <w:tr w:rsidR="002F7789" w:rsidRPr="00770FBF" w14:paraId="1582F851" w14:textId="77777777" w:rsidTr="00710492">
        <w:trPr>
          <w:trHeight w:val="300"/>
          <w:jc w:val="center"/>
        </w:trPr>
        <w:tc>
          <w:tcPr>
            <w:tcW w:w="2972" w:type="dxa"/>
            <w:vAlign w:val="center"/>
          </w:tcPr>
          <w:p w14:paraId="75B08A17" w14:textId="7E7549A8" w:rsidR="002F7789" w:rsidRPr="00770FBF" w:rsidRDefault="00BA7E41" w:rsidP="00710492">
            <w:pPr>
              <w:jc w:val="left"/>
              <w:rPr>
                <w:rFonts w:cs="Times New Roman"/>
                <w:highlight w:val="yellow"/>
                <w:lang w:val="en-US"/>
              </w:rPr>
            </w:pPr>
            <w:proofErr w:type="spellStart"/>
            <w:r>
              <w:rPr>
                <w:rFonts w:cs="Times New Roman"/>
                <w:lang w:val="en-US"/>
              </w:rPr>
              <w:t>Pozycja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próbki</w:t>
            </w:r>
            <w:proofErr w:type="spellEnd"/>
          </w:p>
        </w:tc>
        <w:tc>
          <w:tcPr>
            <w:tcW w:w="2126" w:type="dxa"/>
            <w:vAlign w:val="center"/>
          </w:tcPr>
          <w:p w14:paraId="10AE9B28" w14:textId="53CB9303" w:rsidR="002F7789" w:rsidRPr="00770FBF" w:rsidRDefault="002F7789" w:rsidP="00710492">
            <w:pPr>
              <w:jc w:val="left"/>
              <w:rPr>
                <w:rFonts w:cs="Times New Roman"/>
                <w:lang w:val="en-US"/>
              </w:rPr>
            </w:pPr>
            <w:r w:rsidRPr="00770FBF">
              <w:rPr>
                <w:rFonts w:cs="Times New Roman"/>
                <w:lang w:val="en-US"/>
              </w:rPr>
              <w:t xml:space="preserve">42 m </w:t>
            </w:r>
            <w:r w:rsidR="00BA7E41">
              <w:rPr>
                <w:rFonts w:cs="Times New Roman"/>
                <w:lang w:val="en-US"/>
              </w:rPr>
              <w:t xml:space="preserve">od </w:t>
            </w:r>
            <w:proofErr w:type="spellStart"/>
            <w:r w:rsidR="00BA7E41">
              <w:rPr>
                <w:rFonts w:cs="Times New Roman"/>
                <w:lang w:val="en-US"/>
              </w:rPr>
              <w:t>źródła</w:t>
            </w:r>
            <w:proofErr w:type="spellEnd"/>
          </w:p>
        </w:tc>
      </w:tr>
    </w:tbl>
    <w:p w14:paraId="5C7D0A66" w14:textId="77777777" w:rsidR="002F7789" w:rsidRDefault="002F7789" w:rsidP="002F7789">
      <w:pPr>
        <w:ind w:firstLine="360"/>
        <w:rPr>
          <w:lang w:val="en-US"/>
        </w:rPr>
      </w:pPr>
    </w:p>
    <w:p w14:paraId="4404D621" w14:textId="5C95EAA4" w:rsidR="002F7789" w:rsidRDefault="00B7228C" w:rsidP="00BB5D36">
      <w:pPr>
        <w:pStyle w:val="Nagwek1"/>
        <w:numPr>
          <w:ilvl w:val="0"/>
          <w:numId w:val="1"/>
        </w:numPr>
      </w:pPr>
      <w:bookmarkStart w:id="2" w:name="_Toc195789567"/>
      <w:r>
        <w:t>Specyfikacja ogólna zakresu dostawy</w:t>
      </w:r>
      <w:bookmarkEnd w:id="2"/>
    </w:p>
    <w:p w14:paraId="0897791F" w14:textId="7B6AD080" w:rsidR="002F7789" w:rsidRPr="00C51A2E" w:rsidRDefault="00C51A2E" w:rsidP="00C51A2E">
      <w:pPr>
        <w:ind w:firstLine="360"/>
      </w:pPr>
      <w:r>
        <w:t>Wykonawca powinien wyprodukować</w:t>
      </w:r>
      <w:r w:rsidR="4B8D2A0C">
        <w:t xml:space="preserve">, </w:t>
      </w:r>
      <w:r>
        <w:t xml:space="preserve">dostarczyć </w:t>
      </w:r>
      <w:r w:rsidR="0E162ADB">
        <w:t xml:space="preserve">i zainstalować </w:t>
      </w:r>
      <w:r>
        <w:t xml:space="preserve">w pełni funkcjonalny detektor zaprojektowany do eksperymentów krystalografii rentgenowskiej makrocząsteczek, które mają być przeprowadzane na linii synchrotronowej. Detektor musi być zaprojektowany </w:t>
      </w:r>
      <w:r>
        <w:lastRenderedPageBreak/>
        <w:t xml:space="preserve">tak, aby przechwytywać wzory dyfrakcji rentgenowskiej z wyjątkową szybkością i dokładnością, dostarczając danych </w:t>
      </w:r>
      <w:r w:rsidR="00E66840">
        <w:t xml:space="preserve">niezbędnych </w:t>
      </w:r>
      <w:r>
        <w:t xml:space="preserve">do określania struktury atomowej dużych biologicznych makrocząsteczek, takich jak białka i kwasy nukleinowe. Detektor musi mieć dużą powierzchnię aktywną, dużą liczbę klatek na sekundę, duży zakres dynamiki i niski poziom szumu tła. Detektor musi być w pełni kompatybilny ze standardową infrastrukturą linii krystalografii białek i musi być również w pełni </w:t>
      </w:r>
      <w:proofErr w:type="spellStart"/>
      <w:r>
        <w:t>interoperacyjny</w:t>
      </w:r>
      <w:proofErr w:type="spellEnd"/>
      <w:r>
        <w:t xml:space="preserve"> z oprogramowaniem </w:t>
      </w:r>
      <w:proofErr w:type="spellStart"/>
      <w:r>
        <w:t>MXCuBE</w:t>
      </w:r>
      <w:proofErr w:type="spellEnd"/>
      <w:r>
        <w:t xml:space="preserve">, które będzie używane do kontroli eksperymentu i akwizycji danych. Detektor zostanie zainstalowany na linii </w:t>
      </w:r>
      <w:r w:rsidR="3BC5CBFB">
        <w:t xml:space="preserve">pomiarowej </w:t>
      </w:r>
      <w:r>
        <w:t>przed instalacją systemu optyki rentgenowskiej.</w:t>
      </w:r>
    </w:p>
    <w:p w14:paraId="360E5887" w14:textId="14373171" w:rsidR="002F7789" w:rsidRPr="00D71442" w:rsidRDefault="00D71442" w:rsidP="002F7789">
      <w:pPr>
        <w:ind w:left="360" w:firstLine="348"/>
      </w:pPr>
      <w:r w:rsidRPr="00D71442">
        <w:t xml:space="preserve">Dokładna specyfikacja techniczna opisana jest w sekcji poniżej. </w:t>
      </w:r>
      <w:r w:rsidR="002F7789" w:rsidRPr="00D71442">
        <w:t xml:space="preserve"> </w:t>
      </w:r>
    </w:p>
    <w:p w14:paraId="5F670AB5" w14:textId="190C2278" w:rsidR="002F7789" w:rsidRDefault="00D71442" w:rsidP="002F7789">
      <w:pPr>
        <w:pStyle w:val="Nagwek2"/>
        <w:numPr>
          <w:ilvl w:val="1"/>
          <w:numId w:val="1"/>
        </w:numPr>
        <w:rPr>
          <w:lang w:val="en-US"/>
        </w:rPr>
      </w:pPr>
      <w:bookmarkStart w:id="3" w:name="_Toc195789568"/>
      <w:proofErr w:type="spellStart"/>
      <w:r>
        <w:rPr>
          <w:lang w:val="en-US"/>
        </w:rPr>
        <w:t>Specyfikacja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techniczna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detektora</w:t>
      </w:r>
      <w:bookmarkEnd w:id="3"/>
      <w:proofErr w:type="spellEnd"/>
      <w:r w:rsidR="002F7789">
        <w:rPr>
          <w:lang w:val="en-US"/>
        </w:rPr>
        <w:t xml:space="preserve"> </w:t>
      </w:r>
    </w:p>
    <w:p w14:paraId="55EC0AD9" w14:textId="0993A604" w:rsidR="00881530" w:rsidRPr="00881530" w:rsidRDefault="00881530" w:rsidP="00881530">
      <w:r>
        <w:t xml:space="preserve">Wysoka prędkość i wysoka rozdzielczość detektora powinny umożliwić szybkie i precyzyjne zbieranie danych z kryształów makrocząsteczkowych na linii synchrotronowej. Powinien być kompatybilny z różnymi trybami zbierania danych, takimi jak </w:t>
      </w:r>
      <w:r w:rsidR="1253DC7C">
        <w:t>standardowy zbiór danych</w:t>
      </w:r>
      <w:r>
        <w:t xml:space="preserve">, </w:t>
      </w:r>
      <w:r w:rsidR="00425C93">
        <w:t xml:space="preserve">„fine </w:t>
      </w:r>
      <w:proofErr w:type="spellStart"/>
      <w:r w:rsidR="00425C93">
        <w:t>slicing</w:t>
      </w:r>
      <w:proofErr w:type="spellEnd"/>
      <w:r w:rsidR="00425C93">
        <w:t>”</w:t>
      </w:r>
      <w:r>
        <w:t xml:space="preserve">, badania uszkodzeń radiacyjnych i badania z wykorzystaniem </w:t>
      </w:r>
      <w:r w:rsidR="00425C93">
        <w:t>kowadełek diamentowych (</w:t>
      </w:r>
      <w:proofErr w:type="spellStart"/>
      <w:r>
        <w:t>Diamond</w:t>
      </w:r>
      <w:proofErr w:type="spellEnd"/>
      <w:r>
        <w:t xml:space="preserve"> </w:t>
      </w:r>
      <w:proofErr w:type="spellStart"/>
      <w:r>
        <w:t>Anvil</w:t>
      </w:r>
      <w:proofErr w:type="spellEnd"/>
      <w:r w:rsidR="00425C93">
        <w:t xml:space="preserve"> </w:t>
      </w:r>
      <w:proofErr w:type="spellStart"/>
      <w:r w:rsidR="00425C93">
        <w:t>Cells</w:t>
      </w:r>
      <w:proofErr w:type="spellEnd"/>
      <w:r w:rsidR="00425C93">
        <w:t>)</w:t>
      </w:r>
      <w:r>
        <w:t>. Wymagan</w:t>
      </w:r>
      <w:r w:rsidR="30A8BEBB">
        <w:t>a</w:t>
      </w:r>
      <w:r>
        <w:t xml:space="preserve"> specyfikacj</w:t>
      </w:r>
      <w:r w:rsidR="4A2ECF65">
        <w:t>a</w:t>
      </w:r>
      <w:r>
        <w:t xml:space="preserve"> techniczn</w:t>
      </w:r>
      <w:r w:rsidR="333104EE">
        <w:t>a</w:t>
      </w:r>
      <w:r>
        <w:t>:</w:t>
      </w:r>
    </w:p>
    <w:p w14:paraId="5AE4857D" w14:textId="75895E91" w:rsidR="002F7789" w:rsidRPr="00DA6B21" w:rsidRDefault="00425C93" w:rsidP="002F7789">
      <w:pPr>
        <w:pStyle w:val="Akapitzlist"/>
        <w:numPr>
          <w:ilvl w:val="0"/>
          <w:numId w:val="2"/>
        </w:numPr>
        <w:rPr>
          <w:lang w:val="en-GB"/>
        </w:rPr>
      </w:pPr>
      <w:proofErr w:type="spellStart"/>
      <w:r>
        <w:rPr>
          <w:lang w:val="en-GB"/>
        </w:rPr>
        <w:t>Technologia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detektora</w:t>
      </w:r>
      <w:proofErr w:type="spellEnd"/>
      <w:r w:rsidR="002F7789">
        <w:rPr>
          <w:lang w:val="en-GB"/>
        </w:rPr>
        <w:t xml:space="preserve">: </w:t>
      </w:r>
      <w:r w:rsidR="002F7789" w:rsidRPr="00DA6B21">
        <w:rPr>
          <w:lang w:val="en-GB"/>
        </w:rPr>
        <w:t xml:space="preserve"> Hybrid Photon Counting (HPC)</w:t>
      </w:r>
    </w:p>
    <w:p w14:paraId="0BE1F623" w14:textId="2FFA0DEE" w:rsidR="002F7789" w:rsidRPr="00425C93" w:rsidRDefault="00425C93" w:rsidP="002F7789">
      <w:pPr>
        <w:pStyle w:val="Akapitzlist"/>
        <w:numPr>
          <w:ilvl w:val="0"/>
          <w:numId w:val="2"/>
        </w:numPr>
      </w:pPr>
      <w:r w:rsidRPr="00425C93">
        <w:t>Ilość modułów</w:t>
      </w:r>
      <w:r w:rsidR="002F7789" w:rsidRPr="00425C93">
        <w:t xml:space="preserve"> (W x H): </w:t>
      </w:r>
      <w:r w:rsidRPr="00425C93">
        <w:t>nie mniej niż</w:t>
      </w:r>
      <w:r w:rsidR="002F7789" w:rsidRPr="00425C93">
        <w:t xml:space="preserve"> 3 x 6 = 18</w:t>
      </w:r>
    </w:p>
    <w:p w14:paraId="76AC5B80" w14:textId="1F260F6A" w:rsidR="002F7789" w:rsidRPr="00DA6B21" w:rsidRDefault="00425C93" w:rsidP="002F7789">
      <w:pPr>
        <w:pStyle w:val="Akapitzlist"/>
        <w:numPr>
          <w:ilvl w:val="0"/>
          <w:numId w:val="2"/>
        </w:numPr>
        <w:rPr>
          <w:lang w:val="en-GB"/>
        </w:rPr>
      </w:pPr>
      <w:proofErr w:type="spellStart"/>
      <w:r>
        <w:rPr>
          <w:lang w:val="en-GB"/>
        </w:rPr>
        <w:t>Materiał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sensora</w:t>
      </w:r>
      <w:proofErr w:type="spellEnd"/>
      <w:r w:rsidR="002F7789">
        <w:rPr>
          <w:lang w:val="en-GB"/>
        </w:rPr>
        <w:t>:</w:t>
      </w:r>
      <w:r w:rsidR="002F7789" w:rsidRPr="00DA6B21">
        <w:rPr>
          <w:lang w:val="en-GB"/>
        </w:rPr>
        <w:t xml:space="preserve"> </w:t>
      </w:r>
      <w:proofErr w:type="spellStart"/>
      <w:r>
        <w:rPr>
          <w:lang w:val="en-GB"/>
        </w:rPr>
        <w:t>Krzem</w:t>
      </w:r>
      <w:proofErr w:type="spellEnd"/>
      <w:r w:rsidR="002F7789" w:rsidRPr="00DA6B21">
        <w:rPr>
          <w:lang w:val="en-GB"/>
        </w:rPr>
        <w:t xml:space="preserve"> (Si)</w:t>
      </w:r>
    </w:p>
    <w:p w14:paraId="4D3F45F2" w14:textId="5A8D58F1" w:rsidR="002F7789" w:rsidRPr="00425C93" w:rsidRDefault="00425C93" w:rsidP="002F7789">
      <w:pPr>
        <w:pStyle w:val="Akapitzlist"/>
        <w:numPr>
          <w:ilvl w:val="0"/>
          <w:numId w:val="2"/>
        </w:numPr>
      </w:pPr>
      <w:r w:rsidRPr="00425C93">
        <w:t>Grubość sensora</w:t>
      </w:r>
      <w:r w:rsidR="002F7789" w:rsidRPr="00425C93">
        <w:t xml:space="preserve">: </w:t>
      </w:r>
      <w:r w:rsidRPr="00425C93">
        <w:t>nie więcej niż</w:t>
      </w:r>
      <w:r w:rsidR="002F7789" w:rsidRPr="00425C93">
        <w:t xml:space="preserve"> 450 µm</w:t>
      </w:r>
    </w:p>
    <w:p w14:paraId="0F6B25EA" w14:textId="40592293" w:rsidR="002F7789" w:rsidRPr="00425C93" w:rsidRDefault="00425C93" w:rsidP="002F7789">
      <w:pPr>
        <w:pStyle w:val="Akapitzlist"/>
        <w:numPr>
          <w:ilvl w:val="0"/>
          <w:numId w:val="2"/>
        </w:numPr>
      </w:pPr>
      <w:r w:rsidRPr="00425C93">
        <w:t>Rozmiar piksela</w:t>
      </w:r>
      <w:r w:rsidR="002F7789" w:rsidRPr="00425C93">
        <w:t xml:space="preserve"> (W x H): </w:t>
      </w:r>
      <w:r w:rsidRPr="00425C93">
        <w:t>nie większy niż</w:t>
      </w:r>
      <w:r w:rsidR="002F7789" w:rsidRPr="00425C93">
        <w:t xml:space="preserve"> 75 µm x 75 µm = 5625 µm2</w:t>
      </w:r>
    </w:p>
    <w:p w14:paraId="1C9A430C" w14:textId="52FC76F6" w:rsidR="002F7789" w:rsidRPr="004B2208" w:rsidRDefault="004B2208" w:rsidP="002F7789">
      <w:pPr>
        <w:pStyle w:val="Akapitzlist"/>
        <w:numPr>
          <w:ilvl w:val="0"/>
          <w:numId w:val="2"/>
        </w:numPr>
      </w:pPr>
      <w:r>
        <w:t>Układ macierzy pikseli</w:t>
      </w:r>
      <w:r w:rsidR="002F7789">
        <w:t xml:space="preserve"> (W x H): </w:t>
      </w:r>
      <w:r>
        <w:t>nie mniej niż</w:t>
      </w:r>
      <w:r w:rsidR="002F7789">
        <w:t xml:space="preserve"> 3108 </w:t>
      </w:r>
      <w:proofErr w:type="spellStart"/>
      <w:r w:rsidR="002F7789">
        <w:t>pixel</w:t>
      </w:r>
      <w:proofErr w:type="spellEnd"/>
      <w:r w:rsidR="002F7789">
        <w:t xml:space="preserve"> x 3262 </w:t>
      </w:r>
      <w:proofErr w:type="spellStart"/>
      <w:r w:rsidR="002F7789">
        <w:t>pixel</w:t>
      </w:r>
      <w:proofErr w:type="spellEnd"/>
      <w:r w:rsidR="002F7789">
        <w:t xml:space="preserve"> = 10 138 296 </w:t>
      </w:r>
      <w:proofErr w:type="spellStart"/>
      <w:r w:rsidR="002F7789">
        <w:t>pixel</w:t>
      </w:r>
      <w:proofErr w:type="spellEnd"/>
    </w:p>
    <w:p w14:paraId="650AF04F" w14:textId="76750271" w:rsidR="002F7789" w:rsidRPr="004B2208" w:rsidRDefault="004B2208" w:rsidP="002F7789">
      <w:pPr>
        <w:pStyle w:val="Akapitzlist"/>
        <w:numPr>
          <w:ilvl w:val="0"/>
          <w:numId w:val="2"/>
        </w:numPr>
      </w:pPr>
      <w:r w:rsidRPr="004B2208">
        <w:t>Powierzchnia akty</w:t>
      </w:r>
      <w:r>
        <w:t>wna</w:t>
      </w:r>
      <w:r w:rsidR="002F7789" w:rsidRPr="004B2208">
        <w:t xml:space="preserve"> (W x H): </w:t>
      </w:r>
      <w:r>
        <w:t>nie mniejsza niż</w:t>
      </w:r>
      <w:r w:rsidR="002F7789" w:rsidRPr="004B2208">
        <w:t xml:space="preserve"> 233.1 mm x 244.65 mm = 57 027.915 mm2</w:t>
      </w:r>
    </w:p>
    <w:p w14:paraId="6FB1F571" w14:textId="1868F440" w:rsidR="002F7789" w:rsidRDefault="004B2208" w:rsidP="002F7789">
      <w:pPr>
        <w:pStyle w:val="Akapitzlist"/>
        <w:numPr>
          <w:ilvl w:val="0"/>
          <w:numId w:val="2"/>
        </w:numPr>
        <w:rPr>
          <w:lang w:val="en-GB"/>
        </w:rPr>
      </w:pPr>
      <w:r w:rsidRPr="004B2208">
        <w:t>Przerwa między modułami</w:t>
      </w:r>
      <w:r w:rsidR="002F7789" w:rsidRPr="004B2208">
        <w:t xml:space="preserve">: </w:t>
      </w:r>
      <w:r w:rsidRPr="004B2208">
        <w:t>nie więcej niż</w:t>
      </w:r>
      <w:r w:rsidR="002F7789" w:rsidRPr="004B2208">
        <w:t xml:space="preserve"> hor. 12 pi</w:t>
      </w:r>
      <w:r>
        <w:t>kseli</w:t>
      </w:r>
      <w:r w:rsidR="002F7789" w:rsidRPr="004B2208">
        <w:t xml:space="preserve">, </w:t>
      </w:r>
      <w:proofErr w:type="spellStart"/>
      <w:r>
        <w:t>w</w:t>
      </w:r>
      <w:r w:rsidR="002F7789" w:rsidRPr="004B2208">
        <w:t>ert</w:t>
      </w:r>
      <w:proofErr w:type="spellEnd"/>
      <w:r w:rsidR="002F7789" w:rsidRPr="004B2208">
        <w:t xml:space="preserve">. </w:t>
      </w:r>
      <w:r w:rsidR="002F7789" w:rsidRPr="00DA6B21">
        <w:rPr>
          <w:lang w:val="en-GB"/>
        </w:rPr>
        <w:t xml:space="preserve">38 </w:t>
      </w:r>
      <w:proofErr w:type="spellStart"/>
      <w:r w:rsidR="002F7789" w:rsidRPr="00DA6B21">
        <w:rPr>
          <w:lang w:val="en-GB"/>
        </w:rPr>
        <w:t>pi</w:t>
      </w:r>
      <w:r>
        <w:rPr>
          <w:lang w:val="en-GB"/>
        </w:rPr>
        <w:t>kseli</w:t>
      </w:r>
      <w:proofErr w:type="spellEnd"/>
    </w:p>
    <w:p w14:paraId="1921DBBA" w14:textId="069566D8" w:rsidR="002F7789" w:rsidRDefault="00C50A74" w:rsidP="002F7789">
      <w:pPr>
        <w:pStyle w:val="Akapitzlist"/>
        <w:numPr>
          <w:ilvl w:val="0"/>
          <w:numId w:val="2"/>
        </w:numPr>
        <w:rPr>
          <w:lang w:val="en-GB"/>
        </w:rPr>
      </w:pPr>
      <w:proofErr w:type="spellStart"/>
      <w:r>
        <w:rPr>
          <w:lang w:val="en-GB"/>
        </w:rPr>
        <w:t>Wadliwe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piksele</w:t>
      </w:r>
      <w:proofErr w:type="spellEnd"/>
      <w:r w:rsidR="002F7789">
        <w:rPr>
          <w:lang w:val="en-GB"/>
        </w:rPr>
        <w:t>:</w:t>
      </w:r>
      <w:r w:rsidR="002F7789" w:rsidRPr="00DA6B21">
        <w:rPr>
          <w:lang w:val="en-GB"/>
        </w:rPr>
        <w:t xml:space="preserve"> </w:t>
      </w:r>
      <w:proofErr w:type="spellStart"/>
      <w:r>
        <w:rPr>
          <w:lang w:val="en-GB"/>
        </w:rPr>
        <w:t>mniej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niż</w:t>
      </w:r>
      <w:proofErr w:type="spellEnd"/>
      <w:r w:rsidR="002F7789" w:rsidRPr="00DA6B21">
        <w:rPr>
          <w:lang w:val="en-GB"/>
        </w:rPr>
        <w:t xml:space="preserve"> 0.05%</w:t>
      </w:r>
    </w:p>
    <w:p w14:paraId="42F722CC" w14:textId="22B4D00F" w:rsidR="002F7789" w:rsidRPr="00C50A74" w:rsidRDefault="00C50A74" w:rsidP="002F7789">
      <w:pPr>
        <w:pStyle w:val="Akapitzlist"/>
        <w:numPr>
          <w:ilvl w:val="0"/>
          <w:numId w:val="2"/>
        </w:numPr>
      </w:pPr>
      <w:r w:rsidRPr="00C50A74">
        <w:t>Głębia bitowa obrazu</w:t>
      </w:r>
      <w:r w:rsidR="002F7789" w:rsidRPr="00C50A74">
        <w:t>: 32 ,16</w:t>
      </w:r>
      <w:r w:rsidR="003364D8">
        <w:t xml:space="preserve"> lub</w:t>
      </w:r>
      <w:r w:rsidR="002F7789" w:rsidRPr="00C50A74">
        <w:t xml:space="preserve"> 8 bit</w:t>
      </w:r>
    </w:p>
    <w:p w14:paraId="1DFEB6BE" w14:textId="6CB71BC3" w:rsidR="002F7789" w:rsidRPr="003364D8" w:rsidRDefault="003364D8" w:rsidP="002F7789">
      <w:pPr>
        <w:pStyle w:val="Akapitzlist"/>
        <w:numPr>
          <w:ilvl w:val="0"/>
          <w:numId w:val="2"/>
        </w:numPr>
      </w:pPr>
      <w:r w:rsidRPr="003364D8">
        <w:t xml:space="preserve">Odczyt głębokości bitowej </w:t>
      </w:r>
      <w:r w:rsidR="002F7789" w:rsidRPr="003364D8">
        <w:t xml:space="preserve">16 </w:t>
      </w:r>
      <w:r w:rsidRPr="003364D8">
        <w:t>lub</w:t>
      </w:r>
      <w:r w:rsidR="002F7789" w:rsidRPr="003364D8">
        <w:t xml:space="preserve"> 8 bit</w:t>
      </w:r>
    </w:p>
    <w:p w14:paraId="4FB54734" w14:textId="45C0025F" w:rsidR="002F7789" w:rsidRPr="003364D8" w:rsidRDefault="003364D8" w:rsidP="002F7789">
      <w:pPr>
        <w:pStyle w:val="Akapitzlist"/>
        <w:numPr>
          <w:ilvl w:val="0"/>
          <w:numId w:val="2"/>
        </w:numPr>
      </w:pPr>
      <w:r>
        <w:t xml:space="preserve">Maksymalna liczba </w:t>
      </w:r>
      <w:proofErr w:type="spellStart"/>
      <w:r>
        <w:t>zliczeń</w:t>
      </w:r>
      <w:proofErr w:type="spellEnd"/>
      <w:r w:rsidR="002F7789">
        <w:t xml:space="preserve">: </w:t>
      </w:r>
      <w:r>
        <w:t>nie mniej niż</w:t>
      </w:r>
      <w:r w:rsidR="002F7789">
        <w:t xml:space="preserve"> 1.7 × 10</w:t>
      </w:r>
      <w:r w:rsidR="002F7789" w:rsidRPr="4335C5DB">
        <w:rPr>
          <w:vertAlign w:val="superscript"/>
        </w:rPr>
        <w:t>9</w:t>
      </w:r>
      <w:r w:rsidR="002F7789">
        <w:t xml:space="preserve"> </w:t>
      </w:r>
      <w:r>
        <w:t>fotonów</w:t>
      </w:r>
      <w:r w:rsidR="002F7789">
        <w:t>/s/mm2</w:t>
      </w:r>
    </w:p>
    <w:p w14:paraId="787967DC" w14:textId="2D78ECD4" w:rsidR="002F7789" w:rsidRPr="00DC75CB" w:rsidRDefault="00DC75CB" w:rsidP="00DC75CB">
      <w:pPr>
        <w:pStyle w:val="Akapitzlist"/>
        <w:numPr>
          <w:ilvl w:val="0"/>
          <w:numId w:val="2"/>
        </w:numPr>
      </w:pPr>
      <w:r w:rsidRPr="00DC75CB">
        <w:t>Regulowany zakres progowy</w:t>
      </w:r>
      <w:r w:rsidR="002F7789" w:rsidRPr="00DC75CB">
        <w:t xml:space="preserve">: </w:t>
      </w:r>
      <w:r w:rsidRPr="00DC75CB">
        <w:t>nie gorszy niż</w:t>
      </w:r>
      <w:r w:rsidR="002F7789" w:rsidRPr="00DC75CB">
        <w:t xml:space="preserve"> 3.5 </w:t>
      </w:r>
      <w:proofErr w:type="spellStart"/>
      <w:r w:rsidR="002F7789" w:rsidRPr="00DC75CB">
        <w:t>keV</w:t>
      </w:r>
      <w:proofErr w:type="spellEnd"/>
      <w:r w:rsidR="002F7789" w:rsidRPr="00DC75CB">
        <w:t xml:space="preserve"> </w:t>
      </w:r>
      <w:r w:rsidRPr="00DC75CB">
        <w:t>do</w:t>
      </w:r>
      <w:r w:rsidR="002F7789" w:rsidRPr="00DC75CB">
        <w:t xml:space="preserve"> 30 </w:t>
      </w:r>
      <w:proofErr w:type="spellStart"/>
      <w:r w:rsidR="002F7789" w:rsidRPr="00DC75CB">
        <w:t>keV</w:t>
      </w:r>
      <w:proofErr w:type="spellEnd"/>
    </w:p>
    <w:p w14:paraId="6492582F" w14:textId="2A3696FB" w:rsidR="002F7789" w:rsidRPr="00DC75CB" w:rsidRDefault="00DC75CB" w:rsidP="002F7789">
      <w:pPr>
        <w:pStyle w:val="Akapitzlist"/>
        <w:numPr>
          <w:ilvl w:val="0"/>
          <w:numId w:val="2"/>
        </w:numPr>
      </w:pPr>
      <w:r w:rsidRPr="00DC75CB">
        <w:t>Zakres energetyczny</w:t>
      </w:r>
      <w:r w:rsidR="002F7789" w:rsidRPr="00DC75CB">
        <w:t xml:space="preserve">: </w:t>
      </w:r>
      <w:r w:rsidRPr="00DC75CB">
        <w:t>nie gorszy niż</w:t>
      </w:r>
      <w:r w:rsidR="002F7789" w:rsidRPr="00DC75CB">
        <w:t xml:space="preserve"> 6 </w:t>
      </w:r>
      <w:proofErr w:type="spellStart"/>
      <w:r w:rsidR="002F7789" w:rsidRPr="00DC75CB">
        <w:t>keV</w:t>
      </w:r>
      <w:proofErr w:type="spellEnd"/>
      <w:r w:rsidR="002F7789" w:rsidRPr="00DC75CB">
        <w:t xml:space="preserve"> to 22 </w:t>
      </w:r>
      <w:proofErr w:type="spellStart"/>
      <w:r w:rsidR="002F7789" w:rsidRPr="00DC75CB">
        <w:t>keV</w:t>
      </w:r>
      <w:proofErr w:type="spellEnd"/>
    </w:p>
    <w:p w14:paraId="523BED1D" w14:textId="77777777" w:rsidR="00752D69" w:rsidRPr="00752D69" w:rsidRDefault="00752D69" w:rsidP="002F7789">
      <w:pPr>
        <w:pStyle w:val="Akapitzlist"/>
        <w:numPr>
          <w:ilvl w:val="0"/>
          <w:numId w:val="2"/>
        </w:numPr>
      </w:pPr>
      <w:r w:rsidRPr="00752D69">
        <w:lastRenderedPageBreak/>
        <w:t>Liczba progów: co najmniej dwa niezależne progi</w:t>
      </w:r>
    </w:p>
    <w:p w14:paraId="10AD7CD6" w14:textId="4C2AF4C7" w:rsidR="002F7789" w:rsidRPr="00752D69" w:rsidRDefault="00752D69" w:rsidP="00752D69">
      <w:pPr>
        <w:pStyle w:val="Akapitzlist"/>
        <w:numPr>
          <w:ilvl w:val="0"/>
          <w:numId w:val="2"/>
        </w:numPr>
      </w:pPr>
      <w:r w:rsidRPr="00752D69">
        <w:t>Czas odczytu</w:t>
      </w:r>
      <w:r w:rsidR="002F7789" w:rsidRPr="00752D69">
        <w:t xml:space="preserve">: </w:t>
      </w:r>
      <w:r w:rsidRPr="00752D69">
        <w:t xml:space="preserve">ciągły odczyt z czasem martwym nie dłuższym niż 100 </w:t>
      </w:r>
      <w:proofErr w:type="spellStart"/>
      <w:r w:rsidRPr="00752D69">
        <w:t>ns</w:t>
      </w:r>
      <w:proofErr w:type="spellEnd"/>
    </w:p>
    <w:p w14:paraId="6A9AD782" w14:textId="16680724" w:rsidR="002F7789" w:rsidRPr="000E035F" w:rsidRDefault="000E035F" w:rsidP="000E035F">
      <w:pPr>
        <w:pStyle w:val="Akapitzlist"/>
        <w:numPr>
          <w:ilvl w:val="0"/>
          <w:numId w:val="2"/>
        </w:numPr>
      </w:pPr>
      <w:r w:rsidRPr="000E035F">
        <w:t xml:space="preserve">Maksymalna liczba klatek na sekundę (ciągła): nie gorsza niż 490 </w:t>
      </w:r>
      <w:proofErr w:type="spellStart"/>
      <w:r w:rsidRPr="000E035F">
        <w:t>Hz</w:t>
      </w:r>
      <w:proofErr w:type="spellEnd"/>
      <w:r>
        <w:t xml:space="preserve"> </w:t>
      </w:r>
      <w:r w:rsidR="002F7789" w:rsidRPr="000E035F">
        <w:t xml:space="preserve">(8 bit), 245 </w:t>
      </w:r>
      <w:proofErr w:type="spellStart"/>
      <w:r w:rsidR="002F7789" w:rsidRPr="000E035F">
        <w:t>Hz</w:t>
      </w:r>
      <w:proofErr w:type="spellEnd"/>
      <w:r w:rsidR="002F7789" w:rsidRPr="000E035F">
        <w:t xml:space="preserve"> (16 bit)</w:t>
      </w:r>
    </w:p>
    <w:p w14:paraId="514A9827" w14:textId="2D6967DD" w:rsidR="002F7789" w:rsidRPr="008C32DD" w:rsidRDefault="008C32DD" w:rsidP="008C32DD">
      <w:pPr>
        <w:pStyle w:val="Akapitzlist"/>
        <w:numPr>
          <w:ilvl w:val="0"/>
          <w:numId w:val="2"/>
        </w:numPr>
      </w:pPr>
      <w:r w:rsidRPr="008C32DD">
        <w:t xml:space="preserve">Maksymalna liczba klatek na sekundę ROI (ciągła): nie gorsza niż 1120 </w:t>
      </w:r>
      <w:proofErr w:type="spellStart"/>
      <w:r w:rsidRPr="008C32DD">
        <w:t>Hz</w:t>
      </w:r>
      <w:proofErr w:type="spellEnd"/>
      <w:r>
        <w:t xml:space="preserve">, </w:t>
      </w:r>
      <w:r w:rsidR="002F7789" w:rsidRPr="008C32DD">
        <w:t xml:space="preserve"> (8 bit), 560 </w:t>
      </w:r>
      <w:proofErr w:type="spellStart"/>
      <w:r w:rsidR="002F7789" w:rsidRPr="008C32DD">
        <w:t>Hz</w:t>
      </w:r>
      <w:proofErr w:type="spellEnd"/>
      <w:r w:rsidR="002F7789" w:rsidRPr="008C32DD">
        <w:t xml:space="preserve"> (16 bit)</w:t>
      </w:r>
    </w:p>
    <w:p w14:paraId="04D962BB" w14:textId="66C3013E" w:rsidR="002F7789" w:rsidRPr="0079128D" w:rsidRDefault="0079128D" w:rsidP="00F77C71">
      <w:pPr>
        <w:pStyle w:val="Akapitzlist"/>
        <w:numPr>
          <w:ilvl w:val="0"/>
          <w:numId w:val="2"/>
        </w:numPr>
      </w:pPr>
      <w:r w:rsidRPr="0079128D">
        <w:t>Funkcja rozproszenia punktu</w:t>
      </w:r>
      <w:r w:rsidR="002F7789" w:rsidRPr="0079128D">
        <w:t>: 1 pi</w:t>
      </w:r>
      <w:r w:rsidRPr="0079128D">
        <w:t>ks</w:t>
      </w:r>
      <w:r w:rsidR="002F7789" w:rsidRPr="0079128D">
        <w:t>el (FWHM)</w:t>
      </w:r>
    </w:p>
    <w:p w14:paraId="22AD506A" w14:textId="7C6DB8D7" w:rsidR="002F7789" w:rsidRDefault="0079128D" w:rsidP="002F7789">
      <w:pPr>
        <w:pStyle w:val="Nagwek2"/>
        <w:numPr>
          <w:ilvl w:val="1"/>
          <w:numId w:val="1"/>
        </w:numPr>
        <w:rPr>
          <w:lang w:val="en-GB"/>
        </w:rPr>
      </w:pPr>
      <w:bookmarkStart w:id="4" w:name="_Toc195789569"/>
      <w:proofErr w:type="spellStart"/>
      <w:r>
        <w:rPr>
          <w:lang w:val="en-GB"/>
        </w:rPr>
        <w:t>Jednostka</w:t>
      </w:r>
      <w:proofErr w:type="spellEnd"/>
      <w:r>
        <w:rPr>
          <w:lang w:val="en-GB"/>
        </w:rPr>
        <w:t xml:space="preserve"> </w:t>
      </w:r>
      <w:proofErr w:type="spellStart"/>
      <w:r w:rsidR="006151E9">
        <w:rPr>
          <w:lang w:val="en-GB"/>
        </w:rPr>
        <w:t>steru</w:t>
      </w:r>
      <w:r>
        <w:rPr>
          <w:lang w:val="en-GB"/>
        </w:rPr>
        <w:t>jąca</w:t>
      </w:r>
      <w:bookmarkEnd w:id="4"/>
      <w:proofErr w:type="spellEnd"/>
      <w:r w:rsidR="002F7789">
        <w:rPr>
          <w:lang w:val="en-GB"/>
        </w:rPr>
        <w:t xml:space="preserve"> </w:t>
      </w:r>
    </w:p>
    <w:p w14:paraId="13D603B1" w14:textId="0B87C061" w:rsidR="002F7789" w:rsidRPr="006151E9" w:rsidRDefault="006151E9" w:rsidP="00F77C71">
      <w:pPr>
        <w:ind w:firstLine="360"/>
      </w:pPr>
      <w:r>
        <w:t xml:space="preserve">Detektor </w:t>
      </w:r>
      <w:r w:rsidR="7E7ECE4F">
        <w:t xml:space="preserve">ma </w:t>
      </w:r>
      <w:r>
        <w:t xml:space="preserve">być wyposażony w jednostkę sterującą, która służy jako interfejs między detektorem a resztą eksperymentalnej instalacji, kontrolującą i zarządzającą wszystkimi aspektami działania detektora. Szczegóły jednostki sterującej pozostawia się wykonawcy. </w:t>
      </w:r>
      <w:r w:rsidR="11BECAF5">
        <w:t>Parametry</w:t>
      </w:r>
      <w:r>
        <w:t xml:space="preserve"> jednostki sterującej </w:t>
      </w:r>
      <w:r w:rsidR="3F0382BF">
        <w:t>mają zostać</w:t>
      </w:r>
      <w:r>
        <w:t xml:space="preserve"> zawart</w:t>
      </w:r>
      <w:r w:rsidR="0EB245A2">
        <w:t>e</w:t>
      </w:r>
      <w:r>
        <w:t xml:space="preserve"> w ofercie</w:t>
      </w:r>
      <w:r w:rsidR="002F7789">
        <w:t xml:space="preserve">. </w:t>
      </w:r>
    </w:p>
    <w:p w14:paraId="57CFEC69" w14:textId="5DD6AF66" w:rsidR="0004222A" w:rsidRPr="0004222A" w:rsidRDefault="00FA70A2" w:rsidP="0004222A">
      <w:pPr>
        <w:pStyle w:val="Nagwek2"/>
        <w:numPr>
          <w:ilvl w:val="1"/>
          <w:numId w:val="1"/>
        </w:numPr>
        <w:rPr>
          <w:lang w:val="en-GB"/>
        </w:rPr>
      </w:pPr>
      <w:bookmarkStart w:id="5" w:name="_Toc195789570"/>
      <w:proofErr w:type="spellStart"/>
      <w:r>
        <w:rPr>
          <w:lang w:val="en-GB"/>
        </w:rPr>
        <w:t>Jednostka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stabiliz</w:t>
      </w:r>
      <w:r w:rsidR="0004222A">
        <w:rPr>
          <w:lang w:val="en-GB"/>
        </w:rPr>
        <w:t>ująca</w:t>
      </w:r>
      <w:proofErr w:type="spellEnd"/>
      <w:r w:rsidR="0004222A">
        <w:rPr>
          <w:lang w:val="en-GB"/>
        </w:rPr>
        <w:t xml:space="preserve"> </w:t>
      </w:r>
      <w:proofErr w:type="spellStart"/>
      <w:r w:rsidR="0004222A">
        <w:rPr>
          <w:lang w:val="en-GB"/>
        </w:rPr>
        <w:t>temperaturę</w:t>
      </w:r>
      <w:bookmarkEnd w:id="5"/>
      <w:proofErr w:type="spellEnd"/>
    </w:p>
    <w:p w14:paraId="1CE5DF89" w14:textId="1D04D49C" w:rsidR="002F7789" w:rsidRPr="00C54A99" w:rsidRDefault="00FA70A2" w:rsidP="00FA70A2">
      <w:pPr>
        <w:ind w:firstLine="360"/>
      </w:pPr>
      <w:r>
        <w:t xml:space="preserve">Detektor </w:t>
      </w:r>
      <w:r w:rsidR="2BA8A26B">
        <w:t xml:space="preserve">ma </w:t>
      </w:r>
      <w:r>
        <w:t xml:space="preserve">być wyposażony w jednostkę </w:t>
      </w:r>
      <w:r w:rsidR="0004222A">
        <w:t>stabilizującą temperaturę</w:t>
      </w:r>
      <w:r>
        <w:t>. Szczegóły dotyczące chłodziarki pozostawia się Wykonawcy.</w:t>
      </w:r>
      <w:r w:rsidR="541B41BA">
        <w:t xml:space="preserve"> Parametry tego urządzenia </w:t>
      </w:r>
      <w:r w:rsidR="7B2E7C55">
        <w:t xml:space="preserve">mają zostać </w:t>
      </w:r>
      <w:r w:rsidR="3DCE47F5">
        <w:t xml:space="preserve"> </w:t>
      </w:r>
      <w:r>
        <w:t>zawart</w:t>
      </w:r>
      <w:r w:rsidR="218D7CB2">
        <w:t>e</w:t>
      </w:r>
      <w:r>
        <w:t xml:space="preserve"> w ofercie</w:t>
      </w:r>
      <w:r w:rsidR="002F7789">
        <w:t xml:space="preserve">. </w:t>
      </w:r>
    </w:p>
    <w:p w14:paraId="39BD3ED8" w14:textId="5FECCD80" w:rsidR="002F7789" w:rsidRPr="00FA70A2" w:rsidRDefault="00FA70A2" w:rsidP="00BB5D36">
      <w:pPr>
        <w:pStyle w:val="Nagwek1"/>
        <w:numPr>
          <w:ilvl w:val="0"/>
          <w:numId w:val="1"/>
        </w:numPr>
      </w:pPr>
      <w:bookmarkStart w:id="6" w:name="_Toc195789571"/>
      <w:r>
        <w:t>Dodatkowe informacje</w:t>
      </w:r>
      <w:bookmarkEnd w:id="6"/>
    </w:p>
    <w:p w14:paraId="33AE7462" w14:textId="04138A49" w:rsidR="0004222A" w:rsidRPr="0004222A" w:rsidRDefault="390861B7" w:rsidP="6975E986">
      <w:pPr>
        <w:rPr>
          <w:rFonts w:cs="Times New Roman"/>
        </w:rPr>
      </w:pPr>
      <w:r>
        <w:t>Do oferty należy dołączyć</w:t>
      </w:r>
      <w:r w:rsidR="0004222A">
        <w:t xml:space="preserve"> koncepcj</w:t>
      </w:r>
      <w:r w:rsidR="34712A12">
        <w:t>ę</w:t>
      </w:r>
      <w:r w:rsidR="0004222A">
        <w:t xml:space="preserve"> detektora, urządzenia chłodniczego i jednostki sterującej. </w:t>
      </w:r>
    </w:p>
    <w:p w14:paraId="5614590A" w14:textId="23FF0EE0" w:rsidR="0004222A" w:rsidRPr="0004222A" w:rsidRDefault="0004222A" w:rsidP="6975E986">
      <w:pPr>
        <w:rPr>
          <w:rFonts w:cs="Times New Roman"/>
        </w:rPr>
      </w:pPr>
      <w:r>
        <w:t xml:space="preserve">Dostawa Przedmiotu Zamówienia określonego dla części 1 odbędzie się zgodnie z załączonym wzorem umowy. </w:t>
      </w:r>
    </w:p>
    <w:p w14:paraId="1D1D312F" w14:textId="54204FFF" w:rsidR="0004222A" w:rsidRPr="0004222A" w:rsidRDefault="00BE6189" w:rsidP="6975E986">
      <w:pPr>
        <w:rPr>
          <w:rFonts w:cs="Times New Roman"/>
        </w:rPr>
      </w:pPr>
      <w:r>
        <w:t>Na etapie instalacji i testów odbiorczych</w:t>
      </w:r>
      <w:r w:rsidR="0004222A">
        <w:t xml:space="preserve"> </w:t>
      </w:r>
      <w:r w:rsidR="618EC75A">
        <w:t xml:space="preserve">wymagana jest obecność </w:t>
      </w:r>
      <w:r w:rsidR="0004222A">
        <w:t>co najmniej jedne</w:t>
      </w:r>
      <w:r w:rsidR="6651A280">
        <w:t>j wyspecjalizowanej osoby</w:t>
      </w:r>
      <w:r>
        <w:t xml:space="preserve"> ze strony </w:t>
      </w:r>
      <w:r w:rsidR="1E5933E9">
        <w:t xml:space="preserve">Wykonawcy </w:t>
      </w:r>
      <w:r w:rsidR="0004222A">
        <w:t>przez co najmniej 1 dzień roboczy.</w:t>
      </w:r>
      <w:r w:rsidR="36527B5C">
        <w:t xml:space="preserve"> </w:t>
      </w:r>
      <w:r w:rsidR="36527B5C" w:rsidRPr="6975E986">
        <w:rPr>
          <w:rFonts w:cs="Times New Roman"/>
        </w:rPr>
        <w:t>Detektor będzie zainstalowany na dedykowanym stole podtrzymującym detektor, który jest przedmiotem innego przetargu. Szczegóły dotyczące stołu zostaną przekazane Wykonawcy po rozstrzygnięciu przetargu na stoły eksperymentalne.</w:t>
      </w:r>
    </w:p>
    <w:p w14:paraId="65791F6E" w14:textId="76A9BE3A" w:rsidR="00683A08" w:rsidRPr="00C54A99" w:rsidRDefault="00683A08" w:rsidP="00366595"/>
    <w:p w14:paraId="6CFA4AD5" w14:textId="046A25E3" w:rsidR="00683A08" w:rsidRPr="00061743" w:rsidRDefault="002F1E26" w:rsidP="00BB5D36">
      <w:pPr>
        <w:pStyle w:val="Nagwek1"/>
      </w:pPr>
      <w:bookmarkStart w:id="7" w:name="_Toc195789572"/>
      <w:r>
        <w:lastRenderedPageBreak/>
        <w:t>Część</w:t>
      </w:r>
      <w:r w:rsidR="00683A08" w:rsidRPr="00061743">
        <w:t xml:space="preserve"> 2:</w:t>
      </w:r>
      <w:bookmarkEnd w:id="7"/>
      <w:r w:rsidR="00683A08" w:rsidRPr="00061743">
        <w:t xml:space="preserve"> </w:t>
      </w:r>
    </w:p>
    <w:p w14:paraId="226C0B49" w14:textId="613B1A30" w:rsidR="00683A08" w:rsidRPr="00683A08" w:rsidRDefault="000A037F" w:rsidP="00BB5D36">
      <w:pPr>
        <w:pStyle w:val="Nagwek1"/>
        <w:numPr>
          <w:ilvl w:val="0"/>
          <w:numId w:val="15"/>
        </w:numPr>
      </w:pPr>
      <w:bookmarkStart w:id="8" w:name="_Toc195789573"/>
      <w:r>
        <w:t>Informacje ogólne</w:t>
      </w:r>
      <w:bookmarkEnd w:id="8"/>
    </w:p>
    <w:p w14:paraId="573DCEEE" w14:textId="1AD81779" w:rsidR="006F6978" w:rsidRPr="006F6978" w:rsidRDefault="006F6978" w:rsidP="006F6978">
      <w:pPr>
        <w:ind w:firstLine="360"/>
      </w:pPr>
      <w:r>
        <w:t xml:space="preserve">Przedmiotem </w:t>
      </w:r>
      <w:r w:rsidR="2BBB925D">
        <w:t xml:space="preserve">zamówienia </w:t>
      </w:r>
      <w:r>
        <w:t xml:space="preserve">jest zaprojektowanie, wyprodukowanie, przetestowanie i dostarczenie wysoce precyzyjnego dyfraktometru do makromolekularnej krystalografii rentgenowskiej. Urządzenie zostanie zainstalowane na linii </w:t>
      </w:r>
      <w:r w:rsidR="00A57376">
        <w:t xml:space="preserve">badawczej </w:t>
      </w:r>
      <w:r>
        <w:t>SOLCRYS (ARYA) w Narodowym Centrum Promieniowania Synchrotronowego SOLARIS w Krakowie, w Polsce.</w:t>
      </w:r>
    </w:p>
    <w:p w14:paraId="75030166" w14:textId="1733C060" w:rsidR="00683A08" w:rsidRPr="006F6978" w:rsidRDefault="006F6978" w:rsidP="006F6978">
      <w:pPr>
        <w:ind w:firstLine="360"/>
      </w:pPr>
      <w:r w:rsidRPr="006F6978">
        <w:t xml:space="preserve">Linia SOLCRYS została zaprojektowana do krystalografii makromolekularnej (MX) z wykorzystaniem promieniowania synchrotronowego w zakresie energii od 4 do 22 </w:t>
      </w:r>
      <w:proofErr w:type="spellStart"/>
      <w:r w:rsidRPr="006F6978">
        <w:t>keV</w:t>
      </w:r>
      <w:proofErr w:type="spellEnd"/>
      <w:r w:rsidRPr="006F6978">
        <w:t>. Oczekiwane możliwości badawcze stacji końcowej MX obejmują dostrajaną długość fali promieniowania do eksperymentów dyfrakcji anomalnej o wielu długościach fali (MAD) oraz tryb wysokiego strumienia fotonów do standardowego (rutynowego) zbierania danych dyfrakcyjnych dla kryształów białek. Oczekiwane parametry techniczne linii przedstawiono w tabeli 1.</w:t>
      </w:r>
      <w:r w:rsidR="00683A08" w:rsidRPr="003207C5">
        <w:t xml:space="preserve">. </w:t>
      </w:r>
    </w:p>
    <w:p w14:paraId="0377A507" w14:textId="76238BB9" w:rsidR="003207C5" w:rsidRPr="00CA3D09" w:rsidRDefault="003207C5" w:rsidP="003207C5">
      <w:pPr>
        <w:pStyle w:val="Podpistabela"/>
        <w:rPr>
          <w:lang w:val="pl-PL"/>
        </w:rPr>
      </w:pPr>
      <w:r>
        <w:rPr>
          <w:lang w:val="pl-PL"/>
        </w:rPr>
        <w:t>T</w:t>
      </w:r>
      <w:r w:rsidRPr="00CA3D09">
        <w:rPr>
          <w:lang w:val="pl-PL"/>
        </w:rPr>
        <w:t xml:space="preserve">abela </w:t>
      </w:r>
      <w:r w:rsidRPr="00770FBF">
        <w:rPr>
          <w:lang w:val="en-US"/>
        </w:rPr>
        <w:fldChar w:fldCharType="begin"/>
      </w:r>
      <w:r w:rsidRPr="00CA3D09">
        <w:rPr>
          <w:lang w:val="pl-PL"/>
        </w:rPr>
        <w:instrText xml:space="preserve"> SEQ Table \* ARABIC </w:instrText>
      </w:r>
      <w:r w:rsidRPr="00770FBF">
        <w:rPr>
          <w:lang w:val="en-US"/>
        </w:rPr>
        <w:fldChar w:fldCharType="separate"/>
      </w:r>
      <w:r w:rsidRPr="00CA3D09">
        <w:rPr>
          <w:noProof/>
          <w:lang w:val="pl-PL"/>
        </w:rPr>
        <w:t>1</w:t>
      </w:r>
      <w:r w:rsidRPr="00770FBF">
        <w:rPr>
          <w:lang w:val="en-US"/>
        </w:rPr>
        <w:fldChar w:fldCharType="end"/>
      </w:r>
      <w:r w:rsidRPr="00CA3D09">
        <w:rPr>
          <w:lang w:val="pl-PL"/>
        </w:rPr>
        <w:t xml:space="preserve">. Oczekiwane parametry techniczne linii SOLCRYS.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2126"/>
      </w:tblGrid>
      <w:tr w:rsidR="003207C5" w:rsidRPr="00770FBF" w14:paraId="08CFDB65" w14:textId="77777777" w:rsidTr="00710492">
        <w:trPr>
          <w:trHeight w:val="300"/>
          <w:jc w:val="center"/>
        </w:trPr>
        <w:tc>
          <w:tcPr>
            <w:tcW w:w="2972" w:type="dxa"/>
            <w:vAlign w:val="center"/>
          </w:tcPr>
          <w:p w14:paraId="2002ADE0" w14:textId="77777777" w:rsidR="003207C5" w:rsidRPr="00770FBF" w:rsidRDefault="003207C5" w:rsidP="00710492">
            <w:pPr>
              <w:jc w:val="left"/>
              <w:rPr>
                <w:rFonts w:cs="Times New Roman"/>
                <w:lang w:val="en-US"/>
              </w:rPr>
            </w:pPr>
            <w:proofErr w:type="spellStart"/>
            <w:r>
              <w:rPr>
                <w:rFonts w:cs="Times New Roman"/>
                <w:lang w:val="en-US"/>
              </w:rPr>
              <w:t>Zakres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energii</w:t>
            </w:r>
            <w:proofErr w:type="spellEnd"/>
          </w:p>
        </w:tc>
        <w:tc>
          <w:tcPr>
            <w:tcW w:w="2126" w:type="dxa"/>
            <w:vAlign w:val="center"/>
          </w:tcPr>
          <w:p w14:paraId="21D523EC" w14:textId="77777777" w:rsidR="003207C5" w:rsidRPr="00770FBF" w:rsidRDefault="003207C5" w:rsidP="00710492">
            <w:pPr>
              <w:jc w:val="left"/>
              <w:rPr>
                <w:rFonts w:cs="Times New Roman"/>
                <w:lang w:val="en-US"/>
              </w:rPr>
            </w:pPr>
            <w:r w:rsidRPr="00770FBF">
              <w:rPr>
                <w:rFonts w:cs="Times New Roman"/>
                <w:lang w:val="en-US"/>
              </w:rPr>
              <w:t>4-22 keV</w:t>
            </w:r>
          </w:p>
        </w:tc>
      </w:tr>
      <w:tr w:rsidR="003207C5" w:rsidRPr="00770FBF" w14:paraId="2F788890" w14:textId="77777777" w:rsidTr="00710492">
        <w:trPr>
          <w:trHeight w:val="300"/>
          <w:jc w:val="center"/>
        </w:trPr>
        <w:tc>
          <w:tcPr>
            <w:tcW w:w="2972" w:type="dxa"/>
            <w:vAlign w:val="center"/>
          </w:tcPr>
          <w:p w14:paraId="2920702F" w14:textId="77777777" w:rsidR="003207C5" w:rsidRPr="00770FBF" w:rsidRDefault="003207C5" w:rsidP="00710492">
            <w:pPr>
              <w:jc w:val="left"/>
              <w:rPr>
                <w:rFonts w:cs="Times New Roman"/>
                <w:lang w:val="en-US"/>
              </w:rPr>
            </w:pPr>
            <w:proofErr w:type="spellStart"/>
            <w:r>
              <w:rPr>
                <w:rFonts w:cs="Times New Roman"/>
                <w:lang w:val="en-US"/>
              </w:rPr>
              <w:t>Rozmiar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plamki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na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próbce</w:t>
            </w:r>
            <w:proofErr w:type="spellEnd"/>
          </w:p>
        </w:tc>
        <w:tc>
          <w:tcPr>
            <w:tcW w:w="2126" w:type="dxa"/>
            <w:vAlign w:val="center"/>
          </w:tcPr>
          <w:p w14:paraId="5C7C8148" w14:textId="77777777" w:rsidR="003207C5" w:rsidRPr="00770FBF" w:rsidRDefault="003207C5" w:rsidP="00710492">
            <w:pPr>
              <w:jc w:val="left"/>
              <w:rPr>
                <w:rFonts w:cs="Times New Roman"/>
                <w:lang w:val="en-US"/>
              </w:rPr>
            </w:pPr>
            <w:r w:rsidRPr="00770FBF">
              <w:rPr>
                <w:rFonts w:cs="Times New Roman"/>
                <w:lang w:val="en-US"/>
              </w:rPr>
              <w:t>260 x 80 µm</w:t>
            </w:r>
          </w:p>
        </w:tc>
      </w:tr>
      <w:tr w:rsidR="003207C5" w:rsidRPr="00770FBF" w14:paraId="7B979D0F" w14:textId="77777777" w:rsidTr="00710492">
        <w:trPr>
          <w:trHeight w:val="300"/>
          <w:jc w:val="center"/>
        </w:trPr>
        <w:tc>
          <w:tcPr>
            <w:tcW w:w="2972" w:type="dxa"/>
            <w:vAlign w:val="center"/>
          </w:tcPr>
          <w:p w14:paraId="3E1BDB3F" w14:textId="77777777" w:rsidR="003207C5" w:rsidRPr="00CA3D09" w:rsidRDefault="003207C5" w:rsidP="00710492">
            <w:pPr>
              <w:jc w:val="left"/>
              <w:rPr>
                <w:rFonts w:cs="Times New Roman"/>
              </w:rPr>
            </w:pPr>
            <w:r w:rsidRPr="00CA3D09">
              <w:rPr>
                <w:rFonts w:cs="Times New Roman"/>
              </w:rPr>
              <w:t>Tryb wysokiej rozdz</w:t>
            </w:r>
            <w:r>
              <w:rPr>
                <w:rFonts w:cs="Times New Roman"/>
              </w:rPr>
              <w:t>ielczości</w:t>
            </w:r>
            <w:r w:rsidRPr="00CA3D09">
              <w:rPr>
                <w:rFonts w:cs="Times New Roman"/>
              </w:rPr>
              <w:br/>
              <w:t xml:space="preserve">- </w:t>
            </w:r>
            <w:proofErr w:type="spellStart"/>
            <w:r w:rsidRPr="00CA3D09">
              <w:rPr>
                <w:rFonts w:cs="Times New Roman"/>
              </w:rPr>
              <w:t>flux</w:t>
            </w:r>
            <w:proofErr w:type="spellEnd"/>
            <w:r w:rsidRPr="00CA3D09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przy </w:t>
            </w:r>
            <w:r w:rsidRPr="00CA3D09">
              <w:rPr>
                <w:rFonts w:cs="Times New Roman"/>
              </w:rPr>
              <w:t xml:space="preserve">12 </w:t>
            </w:r>
            <w:proofErr w:type="spellStart"/>
            <w:r w:rsidRPr="00CA3D09">
              <w:rPr>
                <w:rFonts w:cs="Times New Roman"/>
              </w:rPr>
              <w:t>keV</w:t>
            </w:r>
            <w:proofErr w:type="spellEnd"/>
            <w:r w:rsidRPr="00CA3D09">
              <w:rPr>
                <w:rFonts w:cs="Times New Roman"/>
              </w:rPr>
              <w:br/>
              <w:t xml:space="preserve">- </w:t>
            </w:r>
            <w:r>
              <w:rPr>
                <w:rFonts w:cs="Times New Roman"/>
              </w:rPr>
              <w:t>rozdzielczość energetyczna</w:t>
            </w:r>
          </w:p>
        </w:tc>
        <w:tc>
          <w:tcPr>
            <w:tcW w:w="2126" w:type="dxa"/>
            <w:vAlign w:val="center"/>
          </w:tcPr>
          <w:p w14:paraId="4DB6DF0C" w14:textId="77777777" w:rsidR="003207C5" w:rsidRPr="00770FBF" w:rsidRDefault="003207C5" w:rsidP="00710492">
            <w:pPr>
              <w:jc w:val="left"/>
              <w:rPr>
                <w:rFonts w:cs="Times New Roman"/>
                <w:lang w:val="en-US"/>
              </w:rPr>
            </w:pPr>
            <w:r w:rsidRPr="00CA3D09">
              <w:rPr>
                <w:rFonts w:cs="Times New Roman"/>
              </w:rPr>
              <w:br/>
            </w:r>
            <w:r w:rsidRPr="00770FBF">
              <w:rPr>
                <w:rFonts w:cs="Times New Roman"/>
                <w:lang w:val="en-US"/>
              </w:rPr>
              <w:t>~10</w:t>
            </w:r>
            <w:r w:rsidRPr="00770FBF">
              <w:rPr>
                <w:rFonts w:cs="Times New Roman"/>
                <w:vertAlign w:val="superscript"/>
                <w:lang w:val="en-US"/>
              </w:rPr>
              <w:t>12</w:t>
            </w:r>
            <w:r w:rsidRPr="00770FBF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770FBF">
              <w:rPr>
                <w:rFonts w:cs="Times New Roman"/>
                <w:lang w:val="en-US"/>
              </w:rPr>
              <w:t>ph</w:t>
            </w:r>
            <w:proofErr w:type="spellEnd"/>
            <w:r w:rsidRPr="00770FBF">
              <w:rPr>
                <w:rFonts w:cs="Times New Roman"/>
                <w:lang w:val="en-US"/>
              </w:rPr>
              <w:t>/s</w:t>
            </w:r>
            <w:r w:rsidRPr="00770FBF">
              <w:rPr>
                <w:rFonts w:cs="Times New Roman"/>
                <w:lang w:val="en-US"/>
              </w:rPr>
              <w:br/>
            </w:r>
            <w:r w:rsidRPr="00770FBF">
              <w:rPr>
                <w:rFonts w:eastAsia="Calibri" w:cs="Times New Roman"/>
                <w:lang w:val="en-US"/>
              </w:rPr>
              <w:t>1.4x10</w:t>
            </w:r>
            <w:r w:rsidRPr="00770FBF">
              <w:rPr>
                <w:rFonts w:eastAsia="Calibri" w:cs="Times New Roman"/>
                <w:vertAlign w:val="superscript"/>
                <w:lang w:val="en-US"/>
              </w:rPr>
              <w:t>-4</w:t>
            </w:r>
            <w:r w:rsidRPr="00770FBF">
              <w:rPr>
                <w:rFonts w:eastAsia="Calibri" w:cs="Times New Roman"/>
                <w:lang w:val="en-US"/>
              </w:rPr>
              <w:t xml:space="preserve"> (</w:t>
            </w:r>
            <w:r w:rsidRPr="00770FBF">
              <w:rPr>
                <w:rFonts w:cs="Times New Roman"/>
                <w:color w:val="444444"/>
                <w:sz w:val="21"/>
                <w:szCs w:val="21"/>
                <w:lang w:val="en-US"/>
              </w:rPr>
              <w:t>ΔE/E)</w:t>
            </w:r>
          </w:p>
        </w:tc>
      </w:tr>
      <w:tr w:rsidR="003207C5" w:rsidRPr="00770FBF" w14:paraId="4F6B2EAC" w14:textId="77777777" w:rsidTr="00710492">
        <w:trPr>
          <w:trHeight w:val="300"/>
          <w:jc w:val="center"/>
        </w:trPr>
        <w:tc>
          <w:tcPr>
            <w:tcW w:w="2972" w:type="dxa"/>
            <w:vAlign w:val="center"/>
          </w:tcPr>
          <w:p w14:paraId="02713027" w14:textId="77777777" w:rsidR="003207C5" w:rsidRPr="00CA3D09" w:rsidRDefault="003207C5" w:rsidP="00710492">
            <w:pPr>
              <w:jc w:val="left"/>
              <w:rPr>
                <w:rFonts w:cs="Times New Roman"/>
              </w:rPr>
            </w:pPr>
            <w:r w:rsidRPr="00CA3D09">
              <w:rPr>
                <w:rFonts w:cs="Times New Roman"/>
              </w:rPr>
              <w:t>Tryb wysokiej intensywności</w:t>
            </w:r>
            <w:r w:rsidRPr="00CA3D09">
              <w:rPr>
                <w:rFonts w:cs="Times New Roman"/>
              </w:rPr>
              <w:br/>
              <w:t xml:space="preserve">- </w:t>
            </w:r>
            <w:proofErr w:type="spellStart"/>
            <w:r w:rsidRPr="00CA3D09">
              <w:rPr>
                <w:rFonts w:cs="Times New Roman"/>
              </w:rPr>
              <w:t>flux</w:t>
            </w:r>
            <w:proofErr w:type="spellEnd"/>
            <w:r w:rsidRPr="00CA3D09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przy </w:t>
            </w:r>
            <w:r w:rsidRPr="00CA3D09">
              <w:rPr>
                <w:rFonts w:cs="Times New Roman"/>
              </w:rPr>
              <w:t xml:space="preserve">12 </w:t>
            </w:r>
            <w:proofErr w:type="spellStart"/>
            <w:r w:rsidRPr="00CA3D09">
              <w:rPr>
                <w:rFonts w:cs="Times New Roman"/>
              </w:rPr>
              <w:t>keV</w:t>
            </w:r>
            <w:proofErr w:type="spellEnd"/>
            <w:r w:rsidRPr="00CA3D09">
              <w:rPr>
                <w:rFonts w:cs="Times New Roman"/>
              </w:rPr>
              <w:br/>
              <w:t xml:space="preserve">- </w:t>
            </w:r>
            <w:r>
              <w:rPr>
                <w:rFonts w:cs="Times New Roman"/>
              </w:rPr>
              <w:t>rozdzielczość energetyczna</w:t>
            </w:r>
          </w:p>
        </w:tc>
        <w:tc>
          <w:tcPr>
            <w:tcW w:w="2126" w:type="dxa"/>
            <w:vAlign w:val="center"/>
          </w:tcPr>
          <w:p w14:paraId="4B510AA1" w14:textId="77777777" w:rsidR="003207C5" w:rsidRPr="00CA3D09" w:rsidRDefault="003207C5" w:rsidP="00710492">
            <w:pPr>
              <w:jc w:val="left"/>
              <w:rPr>
                <w:rFonts w:cs="Times New Roman"/>
              </w:rPr>
            </w:pPr>
          </w:p>
          <w:p w14:paraId="7F11A0BF" w14:textId="77777777" w:rsidR="003207C5" w:rsidRPr="00770FBF" w:rsidRDefault="003207C5" w:rsidP="00710492">
            <w:pPr>
              <w:jc w:val="left"/>
              <w:rPr>
                <w:rFonts w:cs="Times New Roman"/>
                <w:lang w:val="en-US"/>
              </w:rPr>
            </w:pPr>
            <w:r w:rsidRPr="00770FBF">
              <w:rPr>
                <w:rFonts w:cs="Times New Roman"/>
                <w:lang w:val="en-US"/>
              </w:rPr>
              <w:t>~10</w:t>
            </w:r>
            <w:r w:rsidRPr="00770FBF">
              <w:rPr>
                <w:rFonts w:cs="Times New Roman"/>
                <w:vertAlign w:val="superscript"/>
                <w:lang w:val="en-US"/>
              </w:rPr>
              <w:t>13</w:t>
            </w:r>
            <w:r w:rsidRPr="00770FBF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770FBF">
              <w:rPr>
                <w:rFonts w:cs="Times New Roman"/>
                <w:lang w:val="en-US"/>
              </w:rPr>
              <w:t>ph</w:t>
            </w:r>
            <w:proofErr w:type="spellEnd"/>
            <w:r w:rsidRPr="00770FBF">
              <w:rPr>
                <w:rFonts w:cs="Times New Roman"/>
                <w:lang w:val="en-US"/>
              </w:rPr>
              <w:t>/s</w:t>
            </w:r>
          </w:p>
          <w:p w14:paraId="6250C38F" w14:textId="77777777" w:rsidR="003207C5" w:rsidRPr="00770FBF" w:rsidRDefault="003207C5" w:rsidP="00710492">
            <w:pPr>
              <w:jc w:val="left"/>
              <w:rPr>
                <w:rFonts w:cs="Times New Roman"/>
                <w:lang w:val="en-US"/>
              </w:rPr>
            </w:pPr>
            <w:r w:rsidRPr="00770FBF">
              <w:rPr>
                <w:rFonts w:cs="Times New Roman"/>
                <w:lang w:val="en-US"/>
              </w:rPr>
              <w:t xml:space="preserve"> 0.5-1% (</w:t>
            </w:r>
            <w:r w:rsidRPr="00770FBF">
              <w:rPr>
                <w:rFonts w:cs="Times New Roman"/>
                <w:color w:val="444444"/>
                <w:sz w:val="21"/>
                <w:szCs w:val="21"/>
                <w:lang w:val="en-US"/>
              </w:rPr>
              <w:t>ΔE/E)</w:t>
            </w:r>
          </w:p>
        </w:tc>
      </w:tr>
      <w:tr w:rsidR="003207C5" w:rsidRPr="00770FBF" w14:paraId="27031089" w14:textId="77777777" w:rsidTr="00710492">
        <w:trPr>
          <w:trHeight w:val="300"/>
          <w:jc w:val="center"/>
        </w:trPr>
        <w:tc>
          <w:tcPr>
            <w:tcW w:w="2972" w:type="dxa"/>
            <w:vAlign w:val="center"/>
          </w:tcPr>
          <w:p w14:paraId="5DEA61A3" w14:textId="77777777" w:rsidR="003207C5" w:rsidRPr="00770FBF" w:rsidRDefault="003207C5" w:rsidP="00710492">
            <w:pPr>
              <w:jc w:val="left"/>
              <w:rPr>
                <w:rFonts w:cs="Times New Roman"/>
                <w:lang w:val="en-US"/>
              </w:rPr>
            </w:pPr>
            <w:proofErr w:type="spellStart"/>
            <w:r>
              <w:rPr>
                <w:rFonts w:cs="Times New Roman"/>
                <w:lang w:val="en-US"/>
              </w:rPr>
              <w:t>Dywergencja</w:t>
            </w:r>
            <w:proofErr w:type="spellEnd"/>
          </w:p>
        </w:tc>
        <w:tc>
          <w:tcPr>
            <w:tcW w:w="2126" w:type="dxa"/>
            <w:vAlign w:val="center"/>
          </w:tcPr>
          <w:p w14:paraId="03B08C4D" w14:textId="77777777" w:rsidR="003207C5" w:rsidRPr="00770FBF" w:rsidRDefault="003207C5" w:rsidP="00710492">
            <w:pPr>
              <w:jc w:val="left"/>
              <w:rPr>
                <w:rFonts w:cs="Times New Roman"/>
                <w:lang w:val="en-US"/>
              </w:rPr>
            </w:pPr>
            <w:r w:rsidRPr="00770FBF">
              <w:rPr>
                <w:rFonts w:cs="Times New Roman"/>
                <w:lang w:val="en-US"/>
              </w:rPr>
              <w:t xml:space="preserve">1.9 </w:t>
            </w:r>
            <w:proofErr w:type="spellStart"/>
            <w:r w:rsidRPr="00770FBF">
              <w:rPr>
                <w:rFonts w:cs="Times New Roman"/>
                <w:lang w:val="en-US"/>
              </w:rPr>
              <w:t>mrad</w:t>
            </w:r>
            <w:proofErr w:type="spellEnd"/>
            <w:r w:rsidRPr="00770FBF">
              <w:rPr>
                <w:rFonts w:cs="Times New Roman"/>
                <w:lang w:val="en-US"/>
              </w:rPr>
              <w:t xml:space="preserve"> x 0.3 </w:t>
            </w:r>
            <w:proofErr w:type="spellStart"/>
            <w:r w:rsidRPr="00770FBF">
              <w:rPr>
                <w:rFonts w:cs="Times New Roman"/>
                <w:lang w:val="en-US"/>
              </w:rPr>
              <w:t>mrad</w:t>
            </w:r>
            <w:proofErr w:type="spellEnd"/>
          </w:p>
        </w:tc>
      </w:tr>
      <w:tr w:rsidR="003207C5" w:rsidRPr="00770FBF" w14:paraId="5A6E4AB7" w14:textId="77777777" w:rsidTr="00710492">
        <w:trPr>
          <w:trHeight w:val="300"/>
          <w:jc w:val="center"/>
        </w:trPr>
        <w:tc>
          <w:tcPr>
            <w:tcW w:w="2972" w:type="dxa"/>
            <w:vAlign w:val="center"/>
          </w:tcPr>
          <w:p w14:paraId="3B9E11D7" w14:textId="77777777" w:rsidR="003207C5" w:rsidRPr="00770FBF" w:rsidRDefault="003207C5" w:rsidP="00710492">
            <w:pPr>
              <w:jc w:val="left"/>
              <w:rPr>
                <w:rFonts w:cs="Times New Roman"/>
                <w:highlight w:val="yellow"/>
                <w:lang w:val="en-US"/>
              </w:rPr>
            </w:pPr>
            <w:proofErr w:type="spellStart"/>
            <w:r w:rsidRPr="00770FBF">
              <w:rPr>
                <w:rFonts w:cs="Times New Roman"/>
                <w:lang w:val="en-US"/>
              </w:rPr>
              <w:t>Po</w:t>
            </w:r>
            <w:r>
              <w:rPr>
                <w:rFonts w:cs="Times New Roman"/>
                <w:lang w:val="en-US"/>
              </w:rPr>
              <w:t>zycja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próbki</w:t>
            </w:r>
            <w:proofErr w:type="spellEnd"/>
          </w:p>
        </w:tc>
        <w:tc>
          <w:tcPr>
            <w:tcW w:w="2126" w:type="dxa"/>
            <w:vAlign w:val="center"/>
          </w:tcPr>
          <w:p w14:paraId="3A1F362E" w14:textId="77777777" w:rsidR="003207C5" w:rsidRPr="00770FBF" w:rsidRDefault="003207C5" w:rsidP="00710492">
            <w:pPr>
              <w:jc w:val="left"/>
              <w:rPr>
                <w:rFonts w:cs="Times New Roman"/>
                <w:lang w:val="en-US"/>
              </w:rPr>
            </w:pPr>
            <w:r w:rsidRPr="00770FBF">
              <w:rPr>
                <w:rFonts w:cs="Times New Roman"/>
                <w:lang w:val="en-US"/>
              </w:rPr>
              <w:t xml:space="preserve">42 m </w:t>
            </w:r>
            <w:r>
              <w:rPr>
                <w:rFonts w:cs="Times New Roman"/>
                <w:lang w:val="en-US"/>
              </w:rPr>
              <w:t xml:space="preserve">od </w:t>
            </w:r>
            <w:proofErr w:type="spellStart"/>
            <w:r>
              <w:rPr>
                <w:rFonts w:cs="Times New Roman"/>
                <w:lang w:val="en-US"/>
              </w:rPr>
              <w:t>źródła</w:t>
            </w:r>
            <w:proofErr w:type="spellEnd"/>
          </w:p>
        </w:tc>
      </w:tr>
    </w:tbl>
    <w:p w14:paraId="14F088EF" w14:textId="77777777" w:rsidR="00683A08" w:rsidRPr="00770FBF" w:rsidRDefault="00683A08" w:rsidP="00683A08">
      <w:pPr>
        <w:rPr>
          <w:lang w:val="en-US"/>
        </w:rPr>
      </w:pPr>
    </w:p>
    <w:p w14:paraId="6AC1FD88" w14:textId="77777777" w:rsidR="00683A08" w:rsidRPr="00770FBF" w:rsidRDefault="00683A08" w:rsidP="00683A08">
      <w:pPr>
        <w:rPr>
          <w:lang w:val="en-US"/>
        </w:rPr>
      </w:pPr>
    </w:p>
    <w:p w14:paraId="2F2839E7" w14:textId="1F69C527" w:rsidR="00683A08" w:rsidRPr="003207C5" w:rsidRDefault="003207C5" w:rsidP="00BB5D36">
      <w:pPr>
        <w:pStyle w:val="Nagwek1"/>
        <w:numPr>
          <w:ilvl w:val="0"/>
          <w:numId w:val="15"/>
        </w:numPr>
      </w:pPr>
      <w:bookmarkStart w:id="9" w:name="_Toc195789574"/>
      <w:r w:rsidRPr="003207C5">
        <w:t>Specyfikacja ogólna i zakres d</w:t>
      </w:r>
      <w:r>
        <w:t>ostawy</w:t>
      </w:r>
      <w:bookmarkEnd w:id="9"/>
    </w:p>
    <w:p w14:paraId="7BC9576F" w14:textId="4FEFB459" w:rsidR="00107BCA" w:rsidRPr="00107BCA" w:rsidRDefault="00107BCA" w:rsidP="00107BCA">
      <w:pPr>
        <w:ind w:firstLine="360"/>
      </w:pPr>
      <w:r>
        <w:t xml:space="preserve">Wykonawca </w:t>
      </w:r>
      <w:r w:rsidR="1071D3C8">
        <w:t xml:space="preserve">ma </w:t>
      </w:r>
      <w:r>
        <w:t>wykonać</w:t>
      </w:r>
      <w:r w:rsidR="56BD5F92">
        <w:t xml:space="preserve">, przetestować, </w:t>
      </w:r>
      <w:r>
        <w:t xml:space="preserve">dostarczyć </w:t>
      </w:r>
      <w:r w:rsidR="04985B3B">
        <w:t xml:space="preserve">i zainstalować </w:t>
      </w:r>
      <w:r>
        <w:t xml:space="preserve">w pełni funkcjonalny </w:t>
      </w:r>
      <w:proofErr w:type="spellStart"/>
      <w:r>
        <w:t>mikrodyfraktometr</w:t>
      </w:r>
      <w:proofErr w:type="spellEnd"/>
      <w:r>
        <w:t xml:space="preserve"> zaprojektowany specjalnie do eksperymentów krystalografii </w:t>
      </w:r>
      <w:r>
        <w:lastRenderedPageBreak/>
        <w:t xml:space="preserve">rentgenowskiej makrocząsteczek, które mają być przeprowadzane na linii synchrotronowej. </w:t>
      </w:r>
      <w:proofErr w:type="spellStart"/>
      <w:r>
        <w:t>Mikrodyfraktometr</w:t>
      </w:r>
      <w:proofErr w:type="spellEnd"/>
      <w:r>
        <w:t xml:space="preserve"> musi być zdolny do wykonywania pomiarów danych dyfrakcyjnych z wysoką precyzją z wyjątkową dokładnością, odpowiednich do analizy monokryształów. System musi obsługiwać wiele trybów zbierania danych, w tym: standardowy, </w:t>
      </w:r>
      <w:proofErr w:type="spellStart"/>
      <w:r>
        <w:t>helikalny</w:t>
      </w:r>
      <w:proofErr w:type="spellEnd"/>
      <w:r>
        <w:t>, siatkowe i rastrowe techniki skanowania, a także eksperymenty wykorzystujące kowadełka diamentowe typu Merrill-</w:t>
      </w:r>
      <w:proofErr w:type="spellStart"/>
      <w:r>
        <w:t>Bassett</w:t>
      </w:r>
      <w:proofErr w:type="spellEnd"/>
      <w:r>
        <w:t xml:space="preserve"> (DAC). Sprzęt </w:t>
      </w:r>
      <w:r w:rsidR="4A6C98B6">
        <w:t>ma</w:t>
      </w:r>
      <w:r>
        <w:t xml:space="preserve"> być zoptymalizowany w celu ułatwienia elastycznego, wysokoprzepustowego pozyskiwania danych w różnych warunkach eksperymentalnych.</w:t>
      </w:r>
    </w:p>
    <w:p w14:paraId="762C2971" w14:textId="77777777" w:rsidR="00107BCA" w:rsidRPr="00107BCA" w:rsidRDefault="00107BCA" w:rsidP="00107BCA">
      <w:pPr>
        <w:ind w:firstLine="360"/>
      </w:pPr>
      <w:r w:rsidRPr="00107BCA">
        <w:t xml:space="preserve">Ponadto </w:t>
      </w:r>
      <w:proofErr w:type="spellStart"/>
      <w:r w:rsidRPr="00107BCA">
        <w:t>mikrodyfraktometr</w:t>
      </w:r>
      <w:proofErr w:type="spellEnd"/>
      <w:r w:rsidRPr="00107BCA">
        <w:t xml:space="preserve"> musi być w pełni kompatybilny ze standardową infrastrukturą linii do krystalografii białek. Obejmuje to, ale nie ogranicza się do integracji z robotem zmieniającym próbki (np. </w:t>
      </w:r>
      <w:proofErr w:type="spellStart"/>
      <w:r w:rsidRPr="00107BCA">
        <w:t>Irelec</w:t>
      </w:r>
      <w:proofErr w:type="spellEnd"/>
      <w:r w:rsidRPr="00107BCA">
        <w:t xml:space="preserve"> lub równoważnym), detektorami takimi jak </w:t>
      </w:r>
      <w:proofErr w:type="spellStart"/>
      <w:r w:rsidRPr="00107BCA">
        <w:t>Dectris</w:t>
      </w:r>
      <w:proofErr w:type="spellEnd"/>
      <w:r w:rsidRPr="00107BCA">
        <w:t xml:space="preserve"> EIGER2 (lub podobnymi detektorami o wysokiej wydajności) i detektorem fluorescencji. Wymagana jest również kompatybilność z systemami do kriogenicznego chłodzenia próbek.</w:t>
      </w:r>
    </w:p>
    <w:p w14:paraId="173ED874" w14:textId="77777777" w:rsidR="00107BCA" w:rsidRPr="00107BCA" w:rsidRDefault="00107BCA" w:rsidP="00107BCA">
      <w:pPr>
        <w:ind w:firstLine="360"/>
      </w:pPr>
      <w:r w:rsidRPr="00107BCA">
        <w:t xml:space="preserve">System musi być również w pełni kompatybilny z oprogramowaniem </w:t>
      </w:r>
      <w:proofErr w:type="spellStart"/>
      <w:r w:rsidRPr="00107BCA">
        <w:t>MXCuBE</w:t>
      </w:r>
      <w:proofErr w:type="spellEnd"/>
      <w:r w:rsidRPr="00107BCA">
        <w:t xml:space="preserve">, które będzie używane do sterowania eksperymentem i akwizycji danych. Wykonawca musi zapewnić, że wszystkie niezbędne sterowniki, moduły oprogramowania i interfejsy są dostarczane w celu umożliwienia bezproblemowej integracji z </w:t>
      </w:r>
      <w:proofErr w:type="spellStart"/>
      <w:r w:rsidRPr="00107BCA">
        <w:t>MXCuBE</w:t>
      </w:r>
      <w:proofErr w:type="spellEnd"/>
      <w:r w:rsidRPr="00107BCA">
        <w:t>, co pozwoli na wydajną konfigurację eksperymentu, monitorowanie i zbieranie danych.</w:t>
      </w:r>
    </w:p>
    <w:p w14:paraId="51A260C5" w14:textId="39E693DF" w:rsidR="00683A08" w:rsidRPr="00107BCA" w:rsidRDefault="2F0627D0" w:rsidP="00107BCA">
      <w:pPr>
        <w:ind w:firstLine="360"/>
      </w:pPr>
      <w:r>
        <w:t xml:space="preserve">Wykonawca </w:t>
      </w:r>
      <w:r w:rsidR="00107BCA">
        <w:t>jest zobligowany do przestrzegania wymagań i standardów opisujących technologie i materiały używane w SOLARIS, Wszystkie wymagania opisane są w Załącznikach.</w:t>
      </w:r>
    </w:p>
    <w:p w14:paraId="6F61C073" w14:textId="159AE09E" w:rsidR="00683A08" w:rsidRPr="008A1C27" w:rsidRDefault="008A1C27" w:rsidP="00683A08">
      <w:pPr>
        <w:ind w:firstLine="360"/>
      </w:pPr>
      <w:r w:rsidRPr="00AC09FA">
        <w:rPr>
          <w:rFonts w:cs="Times New Roman"/>
        </w:rPr>
        <w:t>Szczegółowa specyfikacja techniczna dyfraktometru opisa</w:t>
      </w:r>
      <w:r>
        <w:rPr>
          <w:rFonts w:cs="Times New Roman"/>
        </w:rPr>
        <w:t>na jest poniżej</w:t>
      </w:r>
      <w:r w:rsidR="00683A08" w:rsidRPr="008A1C27">
        <w:t xml:space="preserve">. </w:t>
      </w:r>
      <w:bookmarkStart w:id="10" w:name="_Toc194580267"/>
    </w:p>
    <w:p w14:paraId="5F59AF09" w14:textId="48B32C61" w:rsidR="00683A08" w:rsidRPr="00683A08" w:rsidRDefault="00206F69" w:rsidP="00683A08">
      <w:pPr>
        <w:pStyle w:val="Nagwek2"/>
        <w:numPr>
          <w:ilvl w:val="0"/>
          <w:numId w:val="13"/>
        </w:numPr>
      </w:pPr>
      <w:bookmarkStart w:id="11" w:name="_Toc195789575"/>
      <w:bookmarkEnd w:id="10"/>
      <w:r>
        <w:t>Osie pozycjonowania próbki</w:t>
      </w:r>
      <w:bookmarkEnd w:id="11"/>
      <w:r>
        <w:t xml:space="preserve"> </w:t>
      </w:r>
    </w:p>
    <w:p w14:paraId="0E9CCE5B" w14:textId="083BD02C" w:rsidR="00683A08" w:rsidRPr="00AA3D06" w:rsidRDefault="00C77535" w:rsidP="00683A08">
      <w:pPr>
        <w:ind w:firstLine="708"/>
        <w:rPr>
          <w:rFonts w:cs="Times New Roman"/>
          <w:lang w:eastAsia="pl-PL"/>
        </w:rPr>
      </w:pPr>
      <w:proofErr w:type="spellStart"/>
      <w:r w:rsidRPr="00160E22">
        <w:rPr>
          <w:lang w:eastAsia="pl-PL"/>
        </w:rPr>
        <w:t>Mikrodyfraktometr</w:t>
      </w:r>
      <w:proofErr w:type="spellEnd"/>
      <w:r w:rsidRPr="00160E22">
        <w:rPr>
          <w:lang w:eastAsia="pl-PL"/>
        </w:rPr>
        <w:t xml:space="preserve"> musi obsługiwać różnorodne ruchy w celu centrowania próbki i zbierania danych, w tym między innymi: obrót omega, wyrównanie (AX), skanowanie rastrowe i siatkowe (AY, AZ), centrowanie i skanowanie </w:t>
      </w:r>
      <w:proofErr w:type="spellStart"/>
      <w:r w:rsidRPr="00160E22">
        <w:rPr>
          <w:lang w:eastAsia="pl-PL"/>
        </w:rPr>
        <w:t>heli</w:t>
      </w:r>
      <w:r>
        <w:rPr>
          <w:lang w:eastAsia="pl-PL"/>
        </w:rPr>
        <w:t>kalne</w:t>
      </w:r>
      <w:proofErr w:type="spellEnd"/>
      <w:r w:rsidRPr="00160E22">
        <w:rPr>
          <w:lang w:eastAsia="pl-PL"/>
        </w:rPr>
        <w:t xml:space="preserve"> (CX, XY). Ruchy te powinny być w pełni kontrolowane z dużą precyzją, aby ułatwić dokładne i niezawodne pozyskiwanie danych. Szczegółowe specyfikacje i wymagania dla każdej osi ruchu podano w Tabeli 2. </w:t>
      </w:r>
      <w:r w:rsidRPr="0047084F">
        <w:rPr>
          <w:lang w:eastAsia="pl-PL"/>
        </w:rPr>
        <w:t xml:space="preserve">Orientacja osi </w:t>
      </w:r>
      <w:r w:rsidRPr="00160E22">
        <w:rPr>
          <w:lang w:val="en-US" w:eastAsia="pl-PL"/>
        </w:rPr>
        <w:t>Ω</w:t>
      </w:r>
      <w:r w:rsidRPr="0047084F">
        <w:rPr>
          <w:lang w:eastAsia="pl-PL"/>
        </w:rPr>
        <w:t xml:space="preserve"> powinna być pionowa</w:t>
      </w:r>
      <w:r w:rsidR="00683A08" w:rsidRPr="00AA3D06">
        <w:rPr>
          <w:rFonts w:cs="Times New Roman"/>
          <w:lang w:eastAsia="pl-PL"/>
        </w:rPr>
        <w:t>.</w:t>
      </w:r>
    </w:p>
    <w:p w14:paraId="16308B73" w14:textId="77777777" w:rsidR="00115775" w:rsidRPr="00AA3D06" w:rsidRDefault="00115775" w:rsidP="00683A08">
      <w:pPr>
        <w:ind w:firstLine="708"/>
        <w:rPr>
          <w:rFonts w:cs="Times New Roman"/>
          <w:lang w:eastAsia="pl-PL"/>
        </w:rPr>
      </w:pPr>
    </w:p>
    <w:p w14:paraId="6245B614" w14:textId="77777777" w:rsidR="00115775" w:rsidRPr="00AA3D06" w:rsidRDefault="00115775" w:rsidP="00683A08">
      <w:pPr>
        <w:ind w:firstLine="708"/>
        <w:rPr>
          <w:rFonts w:cs="Times New Roman"/>
          <w:lang w:eastAsia="pl-PL"/>
        </w:rPr>
      </w:pPr>
    </w:p>
    <w:p w14:paraId="21CD7E36" w14:textId="77777777" w:rsidR="00AA3D06" w:rsidRPr="00497732" w:rsidRDefault="00AA3D06" w:rsidP="00AA3D06">
      <w:pPr>
        <w:pStyle w:val="Podpistabela"/>
        <w:jc w:val="both"/>
        <w:rPr>
          <w:lang w:val="pl-PL"/>
        </w:rPr>
      </w:pPr>
      <w:r w:rsidRPr="00497732">
        <w:rPr>
          <w:lang w:val="pl-PL"/>
        </w:rPr>
        <w:t xml:space="preserve">Tabela </w:t>
      </w:r>
      <w:r w:rsidRPr="00770FBF">
        <w:rPr>
          <w:lang w:val="en-US"/>
        </w:rPr>
        <w:fldChar w:fldCharType="begin"/>
      </w:r>
      <w:r w:rsidRPr="00497732">
        <w:rPr>
          <w:lang w:val="pl-PL"/>
        </w:rPr>
        <w:instrText xml:space="preserve"> SEQ Table \* ARABIC </w:instrText>
      </w:r>
      <w:r w:rsidRPr="00770FBF">
        <w:rPr>
          <w:lang w:val="en-US"/>
        </w:rPr>
        <w:fldChar w:fldCharType="separate"/>
      </w:r>
      <w:r w:rsidRPr="00497732">
        <w:rPr>
          <w:noProof/>
          <w:lang w:val="pl-PL"/>
        </w:rPr>
        <w:t>2</w:t>
      </w:r>
      <w:r w:rsidRPr="00770FBF">
        <w:rPr>
          <w:lang w:val="en-US"/>
        </w:rPr>
        <w:fldChar w:fldCharType="end"/>
      </w:r>
      <w:r w:rsidRPr="00497732">
        <w:rPr>
          <w:lang w:val="pl-PL"/>
        </w:rPr>
        <w:t xml:space="preserve">. Minimalne wymagania dotyczące osi pozycjonowania próbki </w:t>
      </w:r>
    </w:p>
    <w:tbl>
      <w:tblPr>
        <w:tblStyle w:val="Tabelasiatki7kolorow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080"/>
        <w:gridCol w:w="1080"/>
        <w:gridCol w:w="963"/>
        <w:gridCol w:w="1467"/>
        <w:gridCol w:w="1477"/>
        <w:gridCol w:w="2465"/>
      </w:tblGrid>
      <w:tr w:rsidR="00AA3D06" w:rsidRPr="00770FBF" w14:paraId="1E2BE82A" w14:textId="77777777" w:rsidTr="007104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0" w:type="dxa"/>
            <w:vAlign w:val="center"/>
            <w:hideMark/>
          </w:tcPr>
          <w:p w14:paraId="636F9BCE" w14:textId="77777777" w:rsidR="00AA3D06" w:rsidRPr="00497732" w:rsidRDefault="00AA3D06" w:rsidP="00710492">
            <w:pPr>
              <w:jc w:val="center"/>
              <w:rPr>
                <w:rFonts w:ascii="Aptos" w:eastAsia="Times New Roman" w:hAnsi="Aptos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080" w:type="dxa"/>
            <w:vAlign w:val="center"/>
            <w:hideMark/>
          </w:tcPr>
          <w:p w14:paraId="4BB924E6" w14:textId="77777777" w:rsidR="00AA3D06" w:rsidRPr="00770FBF" w:rsidRDefault="00AA3D06" w:rsidP="007104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 w:rsidRPr="00770FBF"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ma</w:t>
            </w:r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ks</w:t>
            </w:r>
            <w:proofErr w:type="spellEnd"/>
            <w:r w:rsidRPr="00770FBF"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.</w:t>
            </w:r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Prędkość</w:t>
            </w:r>
            <w:proofErr w:type="spellEnd"/>
            <w:r w:rsidRPr="00770FBF"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</w:p>
        </w:tc>
        <w:tc>
          <w:tcPr>
            <w:tcW w:w="1080" w:type="dxa"/>
            <w:vAlign w:val="center"/>
            <w:hideMark/>
          </w:tcPr>
          <w:p w14:paraId="18C95716" w14:textId="77777777" w:rsidR="00AA3D06" w:rsidRPr="00770FBF" w:rsidRDefault="00AA3D06" w:rsidP="007104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Promień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r w:rsidRPr="00770FBF"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SOC</w:t>
            </w:r>
          </w:p>
        </w:tc>
        <w:tc>
          <w:tcPr>
            <w:tcW w:w="963" w:type="dxa"/>
            <w:vAlign w:val="center"/>
            <w:hideMark/>
          </w:tcPr>
          <w:p w14:paraId="7F1E9E10" w14:textId="77777777" w:rsidR="00AA3D06" w:rsidRPr="00770FBF" w:rsidRDefault="00AA3D06" w:rsidP="007104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Zakres</w:t>
            </w:r>
            <w:proofErr w:type="spellEnd"/>
          </w:p>
        </w:tc>
        <w:tc>
          <w:tcPr>
            <w:tcW w:w="1467" w:type="dxa"/>
            <w:vAlign w:val="center"/>
            <w:hideMark/>
          </w:tcPr>
          <w:p w14:paraId="54A2B90F" w14:textId="77777777" w:rsidR="00AA3D06" w:rsidRPr="00770FBF" w:rsidRDefault="00AA3D06" w:rsidP="007104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Rozdzielczość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</w:p>
        </w:tc>
        <w:tc>
          <w:tcPr>
            <w:tcW w:w="1477" w:type="dxa"/>
            <w:vAlign w:val="center"/>
            <w:hideMark/>
          </w:tcPr>
          <w:p w14:paraId="01A24800" w14:textId="77777777" w:rsidR="00AA3D06" w:rsidRPr="00770FBF" w:rsidRDefault="00AA3D06" w:rsidP="007104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Dynamiczna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precyzja</w:t>
            </w:r>
            <w:proofErr w:type="spellEnd"/>
          </w:p>
        </w:tc>
        <w:tc>
          <w:tcPr>
            <w:tcW w:w="2465" w:type="dxa"/>
            <w:vAlign w:val="center"/>
            <w:hideMark/>
          </w:tcPr>
          <w:p w14:paraId="49B0C96B" w14:textId="77777777" w:rsidR="00AA3D06" w:rsidRPr="00770FBF" w:rsidRDefault="00AA3D06" w:rsidP="007104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Powtarzalność</w:t>
            </w:r>
            <w:proofErr w:type="spellEnd"/>
          </w:p>
        </w:tc>
      </w:tr>
      <w:tr w:rsidR="00AA3D06" w:rsidRPr="00770FBF" w14:paraId="5D28750E" w14:textId="77777777" w:rsidTr="007104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hideMark/>
          </w:tcPr>
          <w:p w14:paraId="15764D7B" w14:textId="77777777" w:rsidR="00AA3D06" w:rsidRPr="00770FBF" w:rsidRDefault="00AA3D06" w:rsidP="00710492">
            <w:pPr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Ω</w:t>
            </w:r>
          </w:p>
        </w:tc>
        <w:tc>
          <w:tcPr>
            <w:tcW w:w="1080" w:type="dxa"/>
            <w:hideMark/>
          </w:tcPr>
          <w:p w14:paraId="76872054" w14:textId="77777777" w:rsidR="00AA3D06" w:rsidRPr="000D5777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D5777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nie mniej niż 720 </w:t>
            </w:r>
            <w:proofErr w:type="spellStart"/>
            <w:r w:rsidRPr="000D5777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deg</w:t>
            </w:r>
            <w:proofErr w:type="spellEnd"/>
            <w:r w:rsidRPr="000D5777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/s</w:t>
            </w:r>
          </w:p>
        </w:tc>
        <w:tc>
          <w:tcPr>
            <w:tcW w:w="1080" w:type="dxa"/>
            <w:hideMark/>
          </w:tcPr>
          <w:p w14:paraId="38F01CA5" w14:textId="77777777" w:rsidR="00AA3D06" w:rsidRPr="00770FBF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≤200 nm at 10 deg/s</w:t>
            </w:r>
          </w:p>
        </w:tc>
        <w:tc>
          <w:tcPr>
            <w:tcW w:w="963" w:type="dxa"/>
            <w:hideMark/>
          </w:tcPr>
          <w:p w14:paraId="6E87AF98" w14:textId="77777777" w:rsidR="00AA3D06" w:rsidRPr="00770FBF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bez</w:t>
            </w: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limit</w:t>
            </w: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u</w:t>
            </w:r>
            <w:proofErr w:type="spellEnd"/>
          </w:p>
        </w:tc>
        <w:tc>
          <w:tcPr>
            <w:tcW w:w="1467" w:type="dxa"/>
            <w:hideMark/>
          </w:tcPr>
          <w:p w14:paraId="66684943" w14:textId="77777777" w:rsidR="00AA3D06" w:rsidRPr="00770FBF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nie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gorszy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niż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0.1 µdeg</w:t>
            </w:r>
          </w:p>
        </w:tc>
        <w:tc>
          <w:tcPr>
            <w:tcW w:w="1477" w:type="dxa"/>
            <w:hideMark/>
          </w:tcPr>
          <w:p w14:paraId="49CF70AC" w14:textId="77777777" w:rsidR="00AA3D06" w:rsidRPr="00770FBF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poniżej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± </w:t>
            </w:r>
            <w:proofErr w:type="spellStart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mdeg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at 10 deg/s</w:t>
            </w:r>
          </w:p>
        </w:tc>
        <w:tc>
          <w:tcPr>
            <w:tcW w:w="2465" w:type="dxa"/>
            <w:hideMark/>
          </w:tcPr>
          <w:p w14:paraId="36224E73" w14:textId="77777777" w:rsidR="00AA3D06" w:rsidRPr="00770FBF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lepsza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niż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± 0.5 </w:t>
            </w:r>
            <w:proofErr w:type="spellStart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mdeg</w:t>
            </w:r>
            <w:proofErr w:type="spellEnd"/>
          </w:p>
        </w:tc>
      </w:tr>
      <w:tr w:rsidR="00AA3D06" w:rsidRPr="00770FBF" w14:paraId="7B3E47DE" w14:textId="77777777" w:rsidTr="0071049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hideMark/>
          </w:tcPr>
          <w:p w14:paraId="741F8DC6" w14:textId="77777777" w:rsidR="00AA3D06" w:rsidRPr="00770FBF" w:rsidRDefault="00AA3D06" w:rsidP="00710492">
            <w:pPr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AX</w:t>
            </w:r>
          </w:p>
        </w:tc>
        <w:tc>
          <w:tcPr>
            <w:tcW w:w="1080" w:type="dxa"/>
            <w:hideMark/>
          </w:tcPr>
          <w:p w14:paraId="798ED026" w14:textId="77777777" w:rsidR="00AA3D06" w:rsidRPr="000D5777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D5777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nie mniej niż 2 mm/s</w:t>
            </w:r>
          </w:p>
        </w:tc>
        <w:tc>
          <w:tcPr>
            <w:tcW w:w="1080" w:type="dxa"/>
            <w:hideMark/>
          </w:tcPr>
          <w:p w14:paraId="76D43F4E" w14:textId="77777777" w:rsidR="00AA3D06" w:rsidRPr="00770FBF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-</w:t>
            </w:r>
          </w:p>
        </w:tc>
        <w:tc>
          <w:tcPr>
            <w:tcW w:w="963" w:type="dxa"/>
            <w:hideMark/>
          </w:tcPr>
          <w:p w14:paraId="478D9D21" w14:textId="77777777" w:rsidR="00AA3D06" w:rsidRPr="00770FBF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≥5 mm</w:t>
            </w:r>
          </w:p>
        </w:tc>
        <w:tc>
          <w:tcPr>
            <w:tcW w:w="1467" w:type="dxa"/>
            <w:hideMark/>
          </w:tcPr>
          <w:p w14:paraId="1ED1D654" w14:textId="77777777" w:rsidR="00AA3D06" w:rsidRPr="00770FBF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nie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gorszy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niż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16 nm</w:t>
            </w:r>
          </w:p>
        </w:tc>
        <w:tc>
          <w:tcPr>
            <w:tcW w:w="1477" w:type="dxa"/>
            <w:hideMark/>
          </w:tcPr>
          <w:p w14:paraId="73181819" w14:textId="77777777" w:rsidR="00AA3D06" w:rsidRPr="00770FBF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not </w:t>
            </w:r>
            <w:proofErr w:type="spellStart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speciffied</w:t>
            </w:r>
            <w:proofErr w:type="spellEnd"/>
          </w:p>
        </w:tc>
        <w:tc>
          <w:tcPr>
            <w:tcW w:w="2465" w:type="dxa"/>
            <w:hideMark/>
          </w:tcPr>
          <w:p w14:paraId="7E617123" w14:textId="77777777" w:rsidR="00AA3D06" w:rsidRPr="00770FBF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lepsza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niż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± 2 µm</w:t>
            </w:r>
          </w:p>
        </w:tc>
      </w:tr>
      <w:tr w:rsidR="00AA3D06" w:rsidRPr="00160E22" w14:paraId="7C85BF35" w14:textId="77777777" w:rsidTr="007104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hideMark/>
          </w:tcPr>
          <w:p w14:paraId="1F580F1B" w14:textId="77777777" w:rsidR="00AA3D06" w:rsidRPr="00770FBF" w:rsidRDefault="00AA3D06" w:rsidP="00710492">
            <w:pPr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AY</w:t>
            </w:r>
          </w:p>
        </w:tc>
        <w:tc>
          <w:tcPr>
            <w:tcW w:w="1080" w:type="dxa"/>
            <w:hideMark/>
          </w:tcPr>
          <w:p w14:paraId="1048313D" w14:textId="77777777" w:rsidR="00AA3D06" w:rsidRPr="000D5777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D5777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nie mniej niż 15 mm/s</w:t>
            </w:r>
          </w:p>
        </w:tc>
        <w:tc>
          <w:tcPr>
            <w:tcW w:w="1080" w:type="dxa"/>
            <w:hideMark/>
          </w:tcPr>
          <w:p w14:paraId="3C95AE01" w14:textId="77777777" w:rsidR="00AA3D06" w:rsidRPr="00770FBF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-</w:t>
            </w:r>
          </w:p>
        </w:tc>
        <w:tc>
          <w:tcPr>
            <w:tcW w:w="963" w:type="dxa"/>
            <w:hideMark/>
          </w:tcPr>
          <w:p w14:paraId="554122B8" w14:textId="77777777" w:rsidR="00AA3D06" w:rsidRPr="00770FBF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≥108 mm</w:t>
            </w:r>
          </w:p>
        </w:tc>
        <w:tc>
          <w:tcPr>
            <w:tcW w:w="1467" w:type="dxa"/>
            <w:hideMark/>
          </w:tcPr>
          <w:p w14:paraId="3EDDDC30" w14:textId="77777777" w:rsidR="00AA3D06" w:rsidRPr="00770FBF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nie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gorszy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niż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10 nm</w:t>
            </w:r>
          </w:p>
        </w:tc>
        <w:tc>
          <w:tcPr>
            <w:tcW w:w="1477" w:type="dxa"/>
            <w:hideMark/>
          </w:tcPr>
          <w:p w14:paraId="6054F421" w14:textId="77777777" w:rsidR="00AA3D06" w:rsidRPr="000D5777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D5777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poniżej 1 µm przy  15 mm/s </w:t>
            </w: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przy załadunku</w:t>
            </w:r>
          </w:p>
        </w:tc>
        <w:tc>
          <w:tcPr>
            <w:tcW w:w="2465" w:type="dxa"/>
            <w:hideMark/>
          </w:tcPr>
          <w:p w14:paraId="362675E6" w14:textId="77777777" w:rsidR="00AA3D06" w:rsidRPr="00160E22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lepsza niż</w:t>
            </w:r>
            <w:r w:rsidRPr="00160E2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±150 </w:t>
            </w:r>
            <w:proofErr w:type="spellStart"/>
            <w:r w:rsidRPr="00160E2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nm</w:t>
            </w:r>
            <w:proofErr w:type="spellEnd"/>
            <w:r w:rsidRPr="00160E2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przy załadunku</w:t>
            </w:r>
          </w:p>
        </w:tc>
      </w:tr>
      <w:tr w:rsidR="00AA3D06" w:rsidRPr="00770FBF" w14:paraId="211A0203" w14:textId="77777777" w:rsidTr="0071049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hideMark/>
          </w:tcPr>
          <w:p w14:paraId="32055F79" w14:textId="77777777" w:rsidR="00AA3D06" w:rsidRPr="00770FBF" w:rsidRDefault="00AA3D06" w:rsidP="00710492">
            <w:pPr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AZ</w:t>
            </w:r>
          </w:p>
        </w:tc>
        <w:tc>
          <w:tcPr>
            <w:tcW w:w="1080" w:type="dxa"/>
            <w:hideMark/>
          </w:tcPr>
          <w:p w14:paraId="132C6B51" w14:textId="77777777" w:rsidR="00AA3D06" w:rsidRPr="000D5777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D5777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nie mniej niż 3 mm/s</w:t>
            </w:r>
          </w:p>
        </w:tc>
        <w:tc>
          <w:tcPr>
            <w:tcW w:w="1080" w:type="dxa"/>
            <w:hideMark/>
          </w:tcPr>
          <w:p w14:paraId="2A1DCB68" w14:textId="77777777" w:rsidR="00AA3D06" w:rsidRPr="00770FBF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-</w:t>
            </w:r>
          </w:p>
        </w:tc>
        <w:tc>
          <w:tcPr>
            <w:tcW w:w="963" w:type="dxa"/>
            <w:hideMark/>
          </w:tcPr>
          <w:p w14:paraId="54112B79" w14:textId="77777777" w:rsidR="00AA3D06" w:rsidRPr="00770FBF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≥6 mm</w:t>
            </w:r>
          </w:p>
        </w:tc>
        <w:tc>
          <w:tcPr>
            <w:tcW w:w="1467" w:type="dxa"/>
            <w:hideMark/>
          </w:tcPr>
          <w:p w14:paraId="31BDA0DE" w14:textId="77777777" w:rsidR="00AA3D06" w:rsidRPr="00770FBF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nie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gorszy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niż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16 nm</w:t>
            </w:r>
          </w:p>
        </w:tc>
        <w:tc>
          <w:tcPr>
            <w:tcW w:w="1477" w:type="dxa"/>
            <w:hideMark/>
          </w:tcPr>
          <w:p w14:paraId="52D12B4E" w14:textId="77777777" w:rsidR="00AA3D06" w:rsidRPr="00770FBF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nie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określono</w:t>
            </w:r>
            <w:proofErr w:type="spellEnd"/>
          </w:p>
        </w:tc>
        <w:tc>
          <w:tcPr>
            <w:tcW w:w="2465" w:type="dxa"/>
            <w:hideMark/>
          </w:tcPr>
          <w:p w14:paraId="3D773431" w14:textId="77777777" w:rsidR="00AA3D06" w:rsidRPr="00770FBF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lepsza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niż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± 2 µm</w:t>
            </w:r>
          </w:p>
        </w:tc>
      </w:tr>
      <w:tr w:rsidR="00AA3D06" w:rsidRPr="00160E22" w14:paraId="3B7CD0E0" w14:textId="77777777" w:rsidTr="007104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hideMark/>
          </w:tcPr>
          <w:p w14:paraId="7DCBE821" w14:textId="77777777" w:rsidR="00AA3D06" w:rsidRPr="00770FBF" w:rsidRDefault="00AA3D06" w:rsidP="00710492">
            <w:pPr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CX</w:t>
            </w:r>
          </w:p>
        </w:tc>
        <w:tc>
          <w:tcPr>
            <w:tcW w:w="1080" w:type="dxa"/>
            <w:hideMark/>
          </w:tcPr>
          <w:p w14:paraId="12953F4A" w14:textId="77777777" w:rsidR="00AA3D06" w:rsidRPr="00770FBF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≥1 mm/s</w:t>
            </w:r>
          </w:p>
        </w:tc>
        <w:tc>
          <w:tcPr>
            <w:tcW w:w="1080" w:type="dxa"/>
            <w:hideMark/>
          </w:tcPr>
          <w:p w14:paraId="02A9B2C2" w14:textId="77777777" w:rsidR="00AA3D06" w:rsidRPr="00770FBF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-</w:t>
            </w:r>
          </w:p>
        </w:tc>
        <w:tc>
          <w:tcPr>
            <w:tcW w:w="963" w:type="dxa"/>
            <w:hideMark/>
          </w:tcPr>
          <w:p w14:paraId="433B6AC8" w14:textId="77777777" w:rsidR="00AA3D06" w:rsidRPr="00770FBF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≥6 mm</w:t>
            </w:r>
          </w:p>
        </w:tc>
        <w:tc>
          <w:tcPr>
            <w:tcW w:w="1467" w:type="dxa"/>
            <w:hideMark/>
          </w:tcPr>
          <w:p w14:paraId="597C5E3D" w14:textId="77777777" w:rsidR="00AA3D06" w:rsidRPr="00770FBF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nie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gorszy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niż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10 nm</w:t>
            </w:r>
          </w:p>
        </w:tc>
        <w:tc>
          <w:tcPr>
            <w:tcW w:w="1477" w:type="dxa"/>
            <w:hideMark/>
          </w:tcPr>
          <w:p w14:paraId="13382401" w14:textId="77777777" w:rsidR="00AA3D06" w:rsidRPr="00160E22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60E2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poniżej ± 1µm przy  1 mm/s </w:t>
            </w: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przy załadunku</w:t>
            </w:r>
          </w:p>
        </w:tc>
        <w:tc>
          <w:tcPr>
            <w:tcW w:w="2465" w:type="dxa"/>
            <w:hideMark/>
          </w:tcPr>
          <w:p w14:paraId="6BC9E5AB" w14:textId="77777777" w:rsidR="00AA3D06" w:rsidRPr="00160E22" w:rsidRDefault="00AA3D06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lepsza niż</w:t>
            </w:r>
            <w:r w:rsidRPr="00160E2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±100 </w:t>
            </w:r>
            <w:proofErr w:type="spellStart"/>
            <w:r w:rsidRPr="00160E2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nm</w:t>
            </w:r>
            <w:proofErr w:type="spellEnd"/>
            <w:r w:rsidRPr="00160E2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przy załadunku</w:t>
            </w:r>
          </w:p>
        </w:tc>
      </w:tr>
      <w:tr w:rsidR="00AA3D06" w:rsidRPr="00160E22" w14:paraId="33E5BBC3" w14:textId="77777777" w:rsidTr="0071049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hideMark/>
          </w:tcPr>
          <w:p w14:paraId="3E65EFAD" w14:textId="77777777" w:rsidR="00AA3D06" w:rsidRPr="00770FBF" w:rsidRDefault="00AA3D06" w:rsidP="00710492">
            <w:pPr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CY</w:t>
            </w:r>
          </w:p>
        </w:tc>
        <w:tc>
          <w:tcPr>
            <w:tcW w:w="1080" w:type="dxa"/>
            <w:hideMark/>
          </w:tcPr>
          <w:p w14:paraId="67A89291" w14:textId="77777777" w:rsidR="00AA3D06" w:rsidRPr="00770FBF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≥1 mm/s</w:t>
            </w:r>
          </w:p>
        </w:tc>
        <w:tc>
          <w:tcPr>
            <w:tcW w:w="1080" w:type="dxa"/>
            <w:hideMark/>
          </w:tcPr>
          <w:p w14:paraId="490BB2E5" w14:textId="77777777" w:rsidR="00AA3D06" w:rsidRPr="00770FBF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-</w:t>
            </w:r>
          </w:p>
        </w:tc>
        <w:tc>
          <w:tcPr>
            <w:tcW w:w="963" w:type="dxa"/>
            <w:hideMark/>
          </w:tcPr>
          <w:p w14:paraId="60DADC72" w14:textId="77777777" w:rsidR="00AA3D06" w:rsidRPr="00770FBF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≥6 mm</w:t>
            </w:r>
          </w:p>
        </w:tc>
        <w:tc>
          <w:tcPr>
            <w:tcW w:w="1467" w:type="dxa"/>
            <w:hideMark/>
          </w:tcPr>
          <w:p w14:paraId="4747F8C6" w14:textId="77777777" w:rsidR="00AA3D06" w:rsidRPr="00770FBF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nie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gorszy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niż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10 nm</w:t>
            </w:r>
          </w:p>
        </w:tc>
        <w:tc>
          <w:tcPr>
            <w:tcW w:w="1477" w:type="dxa"/>
            <w:hideMark/>
          </w:tcPr>
          <w:p w14:paraId="2F1FAB55" w14:textId="77777777" w:rsidR="00AA3D06" w:rsidRPr="00160E22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60E2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poniżej ± 1µm przy  1 mm/s </w:t>
            </w: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przy załadunku</w:t>
            </w:r>
          </w:p>
        </w:tc>
        <w:tc>
          <w:tcPr>
            <w:tcW w:w="2465" w:type="dxa"/>
            <w:hideMark/>
          </w:tcPr>
          <w:p w14:paraId="6CFCA8D4" w14:textId="77777777" w:rsidR="00AA3D06" w:rsidRPr="00160E22" w:rsidRDefault="00AA3D06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lepsza niż</w:t>
            </w:r>
            <w:r w:rsidRPr="00160E2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±100 </w:t>
            </w:r>
            <w:proofErr w:type="spellStart"/>
            <w:r w:rsidRPr="00160E2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nm</w:t>
            </w:r>
            <w:proofErr w:type="spellEnd"/>
            <w:r w:rsidRPr="00160E22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przy załadunku</w:t>
            </w:r>
          </w:p>
        </w:tc>
      </w:tr>
    </w:tbl>
    <w:p w14:paraId="696531C9" w14:textId="77777777" w:rsidR="00683A08" w:rsidRPr="00AA3D06" w:rsidRDefault="00683A08" w:rsidP="00683A08">
      <w:pPr>
        <w:ind w:firstLine="708"/>
        <w:rPr>
          <w:lang w:eastAsia="pl-PL"/>
        </w:rPr>
      </w:pPr>
    </w:p>
    <w:p w14:paraId="6A33D13F" w14:textId="489E6825" w:rsidR="00683A08" w:rsidRPr="00770FBF" w:rsidRDefault="00AA3D06" w:rsidP="00683A08">
      <w:pPr>
        <w:pStyle w:val="Nagwek2"/>
        <w:numPr>
          <w:ilvl w:val="0"/>
          <w:numId w:val="13"/>
        </w:numPr>
        <w:rPr>
          <w:lang w:eastAsia="pl-PL"/>
        </w:rPr>
      </w:pPr>
      <w:bookmarkStart w:id="12" w:name="_Toc195789576"/>
      <w:r>
        <w:rPr>
          <w:lang w:eastAsia="pl-PL"/>
        </w:rPr>
        <w:t>Kondycjonowanie wiązki promieniowania X</w:t>
      </w:r>
      <w:bookmarkEnd w:id="12"/>
    </w:p>
    <w:p w14:paraId="66265484" w14:textId="5A8E2C1A" w:rsidR="00364B53" w:rsidRPr="00364B53" w:rsidRDefault="00364B53" w:rsidP="0C389D1C">
      <w:pPr>
        <w:pStyle w:val="NormalnyWeb"/>
        <w:spacing w:line="360" w:lineRule="auto"/>
        <w:ind w:firstLine="360"/>
        <w:jc w:val="both"/>
        <w:rPr>
          <w:rFonts w:eastAsiaTheme="minorEastAsia" w:cstheme="minorBidi"/>
          <w:kern w:val="2"/>
          <w:lang w:eastAsia="en-US"/>
          <w14:ligatures w14:val="standardContextual"/>
        </w:rPr>
      </w:pPr>
      <w:proofErr w:type="spellStart"/>
      <w:r w:rsidRPr="0C389D1C">
        <w:rPr>
          <w:rFonts w:eastAsiaTheme="minorEastAsia" w:cstheme="minorBidi"/>
          <w:kern w:val="2"/>
          <w:lang w:eastAsia="en-US"/>
          <w14:ligatures w14:val="standardContextual"/>
        </w:rPr>
        <w:t>Mikrodyfraktometr</w:t>
      </w:r>
      <w:proofErr w:type="spellEnd"/>
      <w:r w:rsidRPr="0C389D1C">
        <w:rPr>
          <w:rFonts w:eastAsiaTheme="minorEastAsia" w:cstheme="minorBidi"/>
          <w:kern w:val="2"/>
          <w:lang w:eastAsia="en-US"/>
          <w14:ligatures w14:val="standardContextual"/>
        </w:rPr>
        <w:t xml:space="preserve"> musi być zdolny do skupiania promieni rentgenowskich do rozmiaru plamki w zakresie od około 10 do 200 mikronów, oferując wystarczającą elastyczność, aby pomieścić szerokie spektrum rozmiarów próbek i konfiguracji eksperymentalnych. System musi być wyposażony w co najmniej pięć (5) otworów wiązki</w:t>
      </w:r>
      <w:r w:rsidR="43BF5B4A" w:rsidRPr="0C389D1C">
        <w:rPr>
          <w:rFonts w:eastAsiaTheme="minorEastAsia" w:cstheme="minorBidi"/>
          <w:kern w:val="2"/>
          <w:lang w:eastAsia="en-US"/>
          <w14:ligatures w14:val="standardContextual"/>
        </w:rPr>
        <w:t xml:space="preserve"> (</w:t>
      </w:r>
      <w:r w:rsidR="56F1EC06" w:rsidRPr="0C389D1C">
        <w:rPr>
          <w:rFonts w:eastAsiaTheme="minorEastAsia" w:cstheme="minorBidi"/>
          <w:kern w:val="2"/>
          <w:lang w:eastAsia="en-US"/>
          <w14:ligatures w14:val="standardContextual"/>
        </w:rPr>
        <w:t xml:space="preserve">ang. </w:t>
      </w:r>
      <w:proofErr w:type="spellStart"/>
      <w:r w:rsidR="43BF5B4A" w:rsidRPr="0C389D1C">
        <w:rPr>
          <w:rFonts w:eastAsiaTheme="minorEastAsia" w:cstheme="minorBidi"/>
          <w:i/>
          <w:iCs/>
          <w:kern w:val="2"/>
          <w:lang w:eastAsia="en-US"/>
          <w14:ligatures w14:val="standardContextual"/>
        </w:rPr>
        <w:t>aperture</w:t>
      </w:r>
      <w:proofErr w:type="spellEnd"/>
      <w:r w:rsidR="43BF5B4A" w:rsidRPr="0C389D1C">
        <w:rPr>
          <w:rFonts w:eastAsiaTheme="minorEastAsia" w:cstheme="minorBidi"/>
          <w:kern w:val="2"/>
          <w:lang w:eastAsia="en-US"/>
          <w14:ligatures w14:val="standardContextual"/>
        </w:rPr>
        <w:t>)</w:t>
      </w:r>
      <w:r w:rsidRPr="0C389D1C">
        <w:rPr>
          <w:rFonts w:eastAsiaTheme="minorEastAsia" w:cstheme="minorBidi"/>
          <w:kern w:val="2"/>
          <w:lang w:eastAsia="en-US"/>
          <w14:ligatures w14:val="standardContextual"/>
        </w:rPr>
        <w:t xml:space="preserve">, każdy obsługiwany przez precyzyjny mechanizm sterowania, który umożliwia płynne i wysoce dokładne przełączanie między otworami. Szczegółowe specyfikacje średnic otworów, jak </w:t>
      </w:r>
      <w:r w:rsidRPr="0C389D1C">
        <w:rPr>
          <w:rFonts w:eastAsiaTheme="minorEastAsia" w:cstheme="minorBidi"/>
          <w:kern w:val="2"/>
          <w:lang w:eastAsia="en-US"/>
          <w14:ligatures w14:val="standardContextual"/>
        </w:rPr>
        <w:lastRenderedPageBreak/>
        <w:t>również powiązanych systemów sterowania, zostaną sfinalizowane i uzgodnione podczas ostatecznego przeglądu projektu (FDR).</w:t>
      </w:r>
    </w:p>
    <w:p w14:paraId="678541E3" w14:textId="5DC3AE2C" w:rsidR="00364B53" w:rsidRPr="00364B53" w:rsidRDefault="00364B53" w:rsidP="0C389D1C">
      <w:pPr>
        <w:pStyle w:val="NormalnyWeb"/>
        <w:spacing w:line="360" w:lineRule="auto"/>
        <w:ind w:firstLine="360"/>
        <w:jc w:val="both"/>
        <w:rPr>
          <w:rFonts w:eastAsiaTheme="minorEastAsia" w:cstheme="minorBidi"/>
          <w:kern w:val="2"/>
          <w:lang w:eastAsia="en-US"/>
          <w14:ligatures w14:val="standardContextual"/>
        </w:rPr>
      </w:pPr>
      <w:r w:rsidRPr="0C389D1C">
        <w:rPr>
          <w:rFonts w:eastAsiaTheme="minorEastAsia" w:cstheme="minorBidi"/>
          <w:kern w:val="2"/>
          <w:lang w:eastAsia="en-US"/>
          <w14:ligatures w14:val="standardContextual"/>
        </w:rPr>
        <w:t xml:space="preserve">Dyfraktometr </w:t>
      </w:r>
      <w:r w:rsidR="769C927A" w:rsidRPr="0C389D1C">
        <w:rPr>
          <w:rFonts w:eastAsiaTheme="minorEastAsia" w:cstheme="minorBidi"/>
          <w:kern w:val="2"/>
          <w:lang w:eastAsia="en-US"/>
          <w14:ligatures w14:val="standardContextual"/>
        </w:rPr>
        <w:t xml:space="preserve">ma </w:t>
      </w:r>
      <w:r w:rsidRPr="0C389D1C">
        <w:rPr>
          <w:rFonts w:eastAsiaTheme="minorEastAsia" w:cstheme="minorBidi"/>
          <w:kern w:val="2"/>
          <w:lang w:eastAsia="en-US"/>
          <w14:ligatures w14:val="standardContextual"/>
        </w:rPr>
        <w:t xml:space="preserve">być wyposażony w ruchomy system kapilarny, wraz z ostrzem podporowym i osłoną rozpraszającą, zapewniający bezpieczne i stabilne pozycjonowanie próbek, przy jednoczesnym zminimalizowaniu szumu tła pochodzącego z promieniowania rozproszonego. Oczekuje się, że co najmniej jedna zapasowa kapilara będzie dołączona. </w:t>
      </w:r>
    </w:p>
    <w:p w14:paraId="7E3D9DEB" w14:textId="06811467" w:rsidR="00364B53" w:rsidRPr="00364B53" w:rsidRDefault="00364B53" w:rsidP="0C389D1C">
      <w:pPr>
        <w:pStyle w:val="NormalnyWeb"/>
        <w:spacing w:line="360" w:lineRule="auto"/>
        <w:ind w:firstLine="360"/>
        <w:jc w:val="both"/>
        <w:rPr>
          <w:rFonts w:eastAsiaTheme="minorEastAsia" w:cstheme="minorBidi"/>
          <w:kern w:val="2"/>
          <w:lang w:eastAsia="en-US"/>
          <w14:ligatures w14:val="standardContextual"/>
        </w:rPr>
      </w:pPr>
      <w:r w:rsidRPr="0C389D1C">
        <w:rPr>
          <w:rFonts w:eastAsiaTheme="minorEastAsia" w:cstheme="minorBidi"/>
          <w:kern w:val="2"/>
          <w:lang w:eastAsia="en-US"/>
          <w14:ligatures w14:val="standardContextual"/>
        </w:rPr>
        <w:t>Ponadto dyfraktometr musi zawierać jednostkę scyntylatora zamontowaną na stole XYZ. Oś X jednostki scyntylatora powinna być mechanicznie sprzężona z osią X ogranicznika wiązki</w:t>
      </w:r>
      <w:r w:rsidR="07619163" w:rsidRPr="0C389D1C">
        <w:rPr>
          <w:rFonts w:eastAsiaTheme="minorEastAsia" w:cstheme="minorBidi"/>
          <w:kern w:val="2"/>
          <w:lang w:eastAsia="en-US"/>
          <w14:ligatures w14:val="standardContextual"/>
        </w:rPr>
        <w:t xml:space="preserve"> (ang. </w:t>
      </w:r>
      <w:proofErr w:type="spellStart"/>
      <w:r w:rsidR="07619163" w:rsidRPr="0C389D1C">
        <w:rPr>
          <w:rFonts w:eastAsiaTheme="minorEastAsia" w:cstheme="minorBidi"/>
          <w:i/>
          <w:iCs/>
          <w:kern w:val="2"/>
          <w:lang w:eastAsia="en-US"/>
          <w14:ligatures w14:val="standardContextual"/>
        </w:rPr>
        <w:t>beamstop</w:t>
      </w:r>
      <w:proofErr w:type="spellEnd"/>
      <w:r w:rsidR="07619163" w:rsidRPr="0C389D1C">
        <w:rPr>
          <w:rFonts w:eastAsiaTheme="minorEastAsia" w:cstheme="minorBidi"/>
          <w:kern w:val="2"/>
          <w:lang w:eastAsia="en-US"/>
          <w14:ligatures w14:val="standardContextual"/>
        </w:rPr>
        <w:t>)</w:t>
      </w:r>
      <w:r w:rsidRPr="0C389D1C">
        <w:rPr>
          <w:rFonts w:eastAsiaTheme="minorEastAsia" w:cstheme="minorBidi"/>
          <w:kern w:val="2"/>
          <w:lang w:eastAsia="en-US"/>
          <w14:ligatures w14:val="standardContextual"/>
        </w:rPr>
        <w:t xml:space="preserve">, aby zapewnić precyzyjne ustawienie i ruch. Jednostka scyntylatora musi zawierać kryształ CWO i diodę </w:t>
      </w:r>
      <w:proofErr w:type="spellStart"/>
      <w:r w:rsidRPr="0C389D1C">
        <w:rPr>
          <w:rFonts w:eastAsiaTheme="minorEastAsia" w:cstheme="minorBidi"/>
          <w:kern w:val="2"/>
          <w:lang w:eastAsia="en-US"/>
          <w14:ligatures w14:val="standardContextual"/>
        </w:rPr>
        <w:t>pinową</w:t>
      </w:r>
      <w:proofErr w:type="spellEnd"/>
      <w:r w:rsidRPr="0C389D1C">
        <w:rPr>
          <w:rFonts w:eastAsiaTheme="minorEastAsia" w:cstheme="minorBidi"/>
          <w:kern w:val="2"/>
          <w:lang w:eastAsia="en-US"/>
          <w14:ligatures w14:val="standardContextual"/>
        </w:rPr>
        <w:t xml:space="preserve"> w celu optymalnej konwersji światła rentgenowskiego i wykrywania sygnału.</w:t>
      </w:r>
    </w:p>
    <w:p w14:paraId="1CE03543" w14:textId="7603889E" w:rsidR="00364B53" w:rsidRPr="00364B53" w:rsidRDefault="00364B53" w:rsidP="0C389D1C">
      <w:pPr>
        <w:pStyle w:val="NormalnyWeb"/>
        <w:spacing w:line="360" w:lineRule="auto"/>
        <w:ind w:firstLine="360"/>
        <w:jc w:val="both"/>
        <w:rPr>
          <w:rFonts w:eastAsiaTheme="minorEastAsia" w:cstheme="minorBidi"/>
          <w:kern w:val="2"/>
          <w:lang w:eastAsia="en-US"/>
          <w14:ligatures w14:val="standardContextual"/>
        </w:rPr>
      </w:pPr>
      <w:r w:rsidRPr="0C389D1C">
        <w:rPr>
          <w:rFonts w:eastAsiaTheme="minorEastAsia" w:cstheme="minorBidi"/>
          <w:kern w:val="2"/>
          <w:lang w:eastAsia="en-US"/>
          <w14:ligatures w14:val="standardContextual"/>
        </w:rPr>
        <w:t>Jednostka ogranicznika wiązki (</w:t>
      </w:r>
      <w:r w:rsidR="20B6BA6B" w:rsidRPr="0C389D1C">
        <w:rPr>
          <w:rFonts w:eastAsiaTheme="minorEastAsia" w:cstheme="minorBidi"/>
          <w:kern w:val="2"/>
          <w:lang w:eastAsia="en-US"/>
          <w14:ligatures w14:val="standardContextual"/>
        </w:rPr>
        <w:t xml:space="preserve">ang. </w:t>
      </w:r>
      <w:proofErr w:type="spellStart"/>
      <w:r w:rsidRPr="0C389D1C">
        <w:rPr>
          <w:rFonts w:eastAsiaTheme="minorEastAsia" w:cstheme="minorBidi"/>
          <w:i/>
          <w:iCs/>
          <w:kern w:val="2"/>
          <w:lang w:eastAsia="en-US"/>
          <w14:ligatures w14:val="standardContextual"/>
        </w:rPr>
        <w:t>beamstop</w:t>
      </w:r>
      <w:proofErr w:type="spellEnd"/>
      <w:r w:rsidRPr="0C389D1C">
        <w:rPr>
          <w:rFonts w:eastAsiaTheme="minorEastAsia" w:cstheme="minorBidi"/>
          <w:kern w:val="2"/>
          <w:lang w:eastAsia="en-US"/>
          <w14:ligatures w14:val="standardContextual"/>
        </w:rPr>
        <w:t>) musi być zmotoryzowana, oferując precyzyjną kontrolę pozycjonowania i regulacji podczas zbierania danych. Oczekuje się, że w ofercie znajdą się dwa różne ograniczniki wiązki.</w:t>
      </w:r>
    </w:p>
    <w:p w14:paraId="08D76B76" w14:textId="60680C9A" w:rsidR="00683A08" w:rsidRPr="00364B53" w:rsidRDefault="00364B53" w:rsidP="0C389D1C">
      <w:pPr>
        <w:pStyle w:val="NormalnyWeb"/>
        <w:spacing w:line="360" w:lineRule="auto"/>
        <w:ind w:firstLine="360"/>
        <w:jc w:val="both"/>
      </w:pPr>
      <w:r w:rsidRPr="0C389D1C">
        <w:rPr>
          <w:rFonts w:eastAsiaTheme="minorEastAsia" w:cstheme="minorBidi"/>
          <w:kern w:val="2"/>
          <w:lang w:eastAsia="en-US"/>
          <w14:ligatures w14:val="standardContextual"/>
        </w:rPr>
        <w:t>Szczegółowe wymagania dotyczące wszystkich ruchów jednostki kondycjonowania wiązki, w tym kapilary, scyntylatora i ogranicznika wiązki, podsumowano w tabeli</w:t>
      </w:r>
      <w:r w:rsidR="00683A08" w:rsidRPr="00364B53">
        <w:t xml:space="preserve"> 3.</w:t>
      </w:r>
    </w:p>
    <w:p w14:paraId="19E58279" w14:textId="77777777" w:rsidR="00211C7E" w:rsidRPr="00A50578" w:rsidRDefault="00211C7E" w:rsidP="00211C7E">
      <w:pPr>
        <w:pStyle w:val="Legenda"/>
        <w:keepNext/>
        <w:spacing w:line="360" w:lineRule="auto"/>
      </w:pPr>
      <w:r w:rsidRPr="00A50578">
        <w:t>Tab</w:t>
      </w:r>
      <w:r>
        <w:t>e</w:t>
      </w:r>
      <w:r w:rsidRPr="00A50578">
        <w:t>l</w:t>
      </w:r>
      <w:r>
        <w:t>a</w:t>
      </w:r>
      <w:r w:rsidRPr="00A50578">
        <w:t xml:space="preserve"> </w:t>
      </w:r>
      <w:r w:rsidRPr="00770FBF">
        <w:rPr>
          <w:lang w:val="en-US"/>
        </w:rPr>
        <w:fldChar w:fldCharType="begin"/>
      </w:r>
      <w:r w:rsidRPr="00A50578">
        <w:instrText xml:space="preserve"> SEQ Table \* ARABIC </w:instrText>
      </w:r>
      <w:r w:rsidRPr="00770FBF">
        <w:rPr>
          <w:lang w:val="en-US"/>
        </w:rPr>
        <w:fldChar w:fldCharType="separate"/>
      </w:r>
      <w:r w:rsidRPr="00A50578">
        <w:rPr>
          <w:noProof/>
        </w:rPr>
        <w:t>3</w:t>
      </w:r>
      <w:r w:rsidRPr="00770FBF">
        <w:rPr>
          <w:lang w:val="en-US"/>
        </w:rPr>
        <w:fldChar w:fldCharType="end"/>
      </w:r>
      <w:r w:rsidRPr="00A50578">
        <w:t>. Minimalne wymagania dotyczące ruchów jednostki kondycjonowania wiązki.</w:t>
      </w:r>
    </w:p>
    <w:tbl>
      <w:tblPr>
        <w:tblStyle w:val="Tabelasiatki7kolorowa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1"/>
        <w:gridCol w:w="916"/>
        <w:gridCol w:w="1183"/>
        <w:gridCol w:w="941"/>
        <w:gridCol w:w="1479"/>
        <w:gridCol w:w="1700"/>
        <w:gridCol w:w="1537"/>
      </w:tblGrid>
      <w:tr w:rsidR="00211C7E" w:rsidRPr="00770FBF" w14:paraId="63B7D80F" w14:textId="77777777" w:rsidTr="007104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vAlign w:val="center"/>
            <w:hideMark/>
          </w:tcPr>
          <w:p w14:paraId="14CB2A2F" w14:textId="77777777" w:rsidR="00211C7E" w:rsidRPr="00A50578" w:rsidRDefault="00211C7E" w:rsidP="00710492">
            <w:pPr>
              <w:jc w:val="center"/>
              <w:rPr>
                <w:rFonts w:ascii="Aptos" w:eastAsia="Times New Roman" w:hAnsi="Aptos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11E18D3" w14:textId="77777777" w:rsidR="00211C7E" w:rsidRPr="00770FBF" w:rsidRDefault="00211C7E" w:rsidP="007104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Typ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silnika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AAB48FF" w14:textId="77777777" w:rsidR="00211C7E" w:rsidRPr="00770FBF" w:rsidRDefault="00211C7E" w:rsidP="007104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Ma</w:t>
            </w:r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ks. </w:t>
            </w:r>
            <w:proofErr w:type="spellStart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Prędkość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81C1927" w14:textId="77777777" w:rsidR="00211C7E" w:rsidRPr="00770FBF" w:rsidRDefault="00211C7E" w:rsidP="007104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Zakres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8FDE80E" w14:textId="77777777" w:rsidR="00211C7E" w:rsidRPr="00770FBF" w:rsidRDefault="00211C7E" w:rsidP="007104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Typ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eknodera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FBC105D" w14:textId="77777777" w:rsidR="00211C7E" w:rsidRPr="00770FBF" w:rsidRDefault="00211C7E" w:rsidP="007104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 w:rsidRPr="00770FBF"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R</w:t>
            </w:r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ozdzielczość</w:t>
            </w:r>
            <w:proofErr w:type="spellEnd"/>
          </w:p>
        </w:tc>
        <w:tc>
          <w:tcPr>
            <w:tcW w:w="0" w:type="auto"/>
            <w:vAlign w:val="center"/>
          </w:tcPr>
          <w:p w14:paraId="4CCCB13A" w14:textId="77777777" w:rsidR="00211C7E" w:rsidRPr="00770FBF" w:rsidRDefault="00211C7E" w:rsidP="007104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Powtarzalność</w:t>
            </w:r>
            <w:proofErr w:type="spellEnd"/>
          </w:p>
        </w:tc>
      </w:tr>
      <w:tr w:rsidR="000A06BA" w:rsidRPr="00770FBF" w14:paraId="3A90F18E" w14:textId="77777777" w:rsidTr="007104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EE8970F" w14:textId="6051CBF4" w:rsidR="00211C7E" w:rsidRPr="00770FBF" w:rsidRDefault="00211C7E" w:rsidP="00710492">
            <w:pPr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Appertur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a</w:t>
            </w:r>
            <w:proofErr w:type="spellEnd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Y (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boki</w:t>
            </w:r>
            <w:proofErr w:type="spellEnd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)</w:t>
            </w:r>
          </w:p>
        </w:tc>
        <w:tc>
          <w:tcPr>
            <w:tcW w:w="0" w:type="auto"/>
          </w:tcPr>
          <w:p w14:paraId="5BF7EB98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DC</w:t>
            </w:r>
          </w:p>
        </w:tc>
        <w:tc>
          <w:tcPr>
            <w:tcW w:w="0" w:type="auto"/>
          </w:tcPr>
          <w:p w14:paraId="51161B8E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2 mm/s</w:t>
            </w:r>
          </w:p>
        </w:tc>
        <w:tc>
          <w:tcPr>
            <w:tcW w:w="0" w:type="auto"/>
          </w:tcPr>
          <w:p w14:paraId="582C01A8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4 mm</w:t>
            </w:r>
          </w:p>
        </w:tc>
        <w:tc>
          <w:tcPr>
            <w:tcW w:w="0" w:type="auto"/>
          </w:tcPr>
          <w:p w14:paraId="2B487987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Circular encoder on motor unit</w:t>
            </w:r>
          </w:p>
        </w:tc>
        <w:tc>
          <w:tcPr>
            <w:tcW w:w="0" w:type="auto"/>
          </w:tcPr>
          <w:p w14:paraId="166AEE50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≥ 16 nm (60620.8 </w:t>
            </w:r>
            <w:proofErr w:type="spellStart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cts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/mm)</w:t>
            </w:r>
          </w:p>
        </w:tc>
        <w:tc>
          <w:tcPr>
            <w:tcW w:w="0" w:type="auto"/>
          </w:tcPr>
          <w:p w14:paraId="1F45245E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±1 µm</w:t>
            </w:r>
          </w:p>
        </w:tc>
      </w:tr>
      <w:tr w:rsidR="00211C7E" w:rsidRPr="00770FBF" w14:paraId="3B4ECC25" w14:textId="77777777" w:rsidTr="0071049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58FB265" w14:textId="4CAF0548" w:rsidR="00211C7E" w:rsidRPr="00770FBF" w:rsidRDefault="00211C7E" w:rsidP="00710492">
            <w:pPr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Appertur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a</w:t>
            </w:r>
            <w:proofErr w:type="spellEnd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Z (in-out)</w:t>
            </w:r>
          </w:p>
        </w:tc>
        <w:tc>
          <w:tcPr>
            <w:tcW w:w="0" w:type="auto"/>
          </w:tcPr>
          <w:p w14:paraId="54BBB66A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DC</w:t>
            </w:r>
          </w:p>
        </w:tc>
        <w:tc>
          <w:tcPr>
            <w:tcW w:w="0" w:type="auto"/>
          </w:tcPr>
          <w:p w14:paraId="4051E5A9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4 mm/s</w:t>
            </w:r>
          </w:p>
        </w:tc>
        <w:tc>
          <w:tcPr>
            <w:tcW w:w="0" w:type="auto"/>
          </w:tcPr>
          <w:p w14:paraId="20E4667A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≥97 mm</w:t>
            </w:r>
          </w:p>
        </w:tc>
        <w:tc>
          <w:tcPr>
            <w:tcW w:w="0" w:type="auto"/>
          </w:tcPr>
          <w:p w14:paraId="753C273D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Circular encoder on motor unit</w:t>
            </w:r>
          </w:p>
        </w:tc>
        <w:tc>
          <w:tcPr>
            <w:tcW w:w="0" w:type="auto"/>
          </w:tcPr>
          <w:p w14:paraId="1FBA55F5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≥45 nm (22300 </w:t>
            </w:r>
            <w:proofErr w:type="spellStart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cts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/mm)</w:t>
            </w:r>
          </w:p>
        </w:tc>
        <w:tc>
          <w:tcPr>
            <w:tcW w:w="0" w:type="auto"/>
          </w:tcPr>
          <w:p w14:paraId="4A806927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±1 µm</w:t>
            </w:r>
          </w:p>
        </w:tc>
      </w:tr>
      <w:tr w:rsidR="000A06BA" w:rsidRPr="00770FBF" w14:paraId="711D83FF" w14:textId="77777777" w:rsidTr="007104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8FA6C26" w14:textId="6722872A" w:rsidR="00211C7E" w:rsidRPr="00770FBF" w:rsidRDefault="00211C7E" w:rsidP="00710492">
            <w:pPr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Kapilara</w:t>
            </w:r>
            <w:proofErr w:type="spellEnd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Y (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boki</w:t>
            </w:r>
            <w:proofErr w:type="spellEnd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)</w:t>
            </w:r>
          </w:p>
        </w:tc>
        <w:tc>
          <w:tcPr>
            <w:tcW w:w="0" w:type="auto"/>
          </w:tcPr>
          <w:p w14:paraId="1A13DD4D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DC</w:t>
            </w:r>
          </w:p>
        </w:tc>
        <w:tc>
          <w:tcPr>
            <w:tcW w:w="0" w:type="auto"/>
          </w:tcPr>
          <w:p w14:paraId="071D913E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2 mm/s</w:t>
            </w:r>
          </w:p>
        </w:tc>
        <w:tc>
          <w:tcPr>
            <w:tcW w:w="0" w:type="auto"/>
          </w:tcPr>
          <w:p w14:paraId="1459A8D4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2 mm</w:t>
            </w:r>
          </w:p>
        </w:tc>
        <w:tc>
          <w:tcPr>
            <w:tcW w:w="0" w:type="auto"/>
          </w:tcPr>
          <w:p w14:paraId="4EAE946C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Circular encoder on motor unit</w:t>
            </w:r>
          </w:p>
        </w:tc>
        <w:tc>
          <w:tcPr>
            <w:tcW w:w="0" w:type="auto"/>
          </w:tcPr>
          <w:p w14:paraId="1A80D10C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≥ 16 nm (60620.8 </w:t>
            </w:r>
            <w:proofErr w:type="spellStart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cts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/mm)</w:t>
            </w:r>
          </w:p>
        </w:tc>
        <w:tc>
          <w:tcPr>
            <w:tcW w:w="0" w:type="auto"/>
          </w:tcPr>
          <w:p w14:paraId="5AE07CB8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±2 µm</w:t>
            </w:r>
          </w:p>
        </w:tc>
      </w:tr>
      <w:tr w:rsidR="00211C7E" w:rsidRPr="00770FBF" w14:paraId="6CBC9BFA" w14:textId="77777777" w:rsidTr="0071049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45DAFB9" w14:textId="798DC5A1" w:rsidR="00211C7E" w:rsidRPr="00770FBF" w:rsidRDefault="00211C7E" w:rsidP="00710492">
            <w:pPr>
              <w:jc w:val="center"/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Kapilara</w:t>
            </w:r>
            <w:proofErr w:type="spellEnd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Z</w:t>
            </w:r>
          </w:p>
          <w:p w14:paraId="692AF6D7" w14:textId="77777777" w:rsidR="00211C7E" w:rsidRPr="00770FBF" w:rsidRDefault="00211C7E" w:rsidP="00710492">
            <w:pPr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(in-out)</w:t>
            </w:r>
          </w:p>
        </w:tc>
        <w:tc>
          <w:tcPr>
            <w:tcW w:w="0" w:type="auto"/>
          </w:tcPr>
          <w:p w14:paraId="304C7D82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DC</w:t>
            </w:r>
          </w:p>
        </w:tc>
        <w:tc>
          <w:tcPr>
            <w:tcW w:w="0" w:type="auto"/>
          </w:tcPr>
          <w:p w14:paraId="0177B12F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20 mm/s</w:t>
            </w:r>
          </w:p>
        </w:tc>
        <w:tc>
          <w:tcPr>
            <w:tcW w:w="0" w:type="auto"/>
          </w:tcPr>
          <w:p w14:paraId="67D4FA17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≥97 mm</w:t>
            </w:r>
          </w:p>
        </w:tc>
        <w:tc>
          <w:tcPr>
            <w:tcW w:w="0" w:type="auto"/>
          </w:tcPr>
          <w:p w14:paraId="708B3007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Circular encoder on motor unit</w:t>
            </w:r>
          </w:p>
        </w:tc>
        <w:tc>
          <w:tcPr>
            <w:tcW w:w="0" w:type="auto"/>
          </w:tcPr>
          <w:p w14:paraId="26BE6286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≥ 90 nm (11150 </w:t>
            </w:r>
            <w:proofErr w:type="spellStart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cts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/mm)</w:t>
            </w:r>
          </w:p>
        </w:tc>
        <w:tc>
          <w:tcPr>
            <w:tcW w:w="0" w:type="auto"/>
          </w:tcPr>
          <w:p w14:paraId="70D66A65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±2 µm</w:t>
            </w:r>
          </w:p>
        </w:tc>
      </w:tr>
      <w:tr w:rsidR="000A06BA" w:rsidRPr="00770FBF" w14:paraId="359EEEDC" w14:textId="77777777" w:rsidTr="007104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AB8A641" w14:textId="6D316B68" w:rsidR="00211C7E" w:rsidRPr="00770FBF" w:rsidRDefault="00211C7E" w:rsidP="00710492">
            <w:pPr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lastRenderedPageBreak/>
              <w:t>Sc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yntylator</w:t>
            </w:r>
            <w:proofErr w:type="spellEnd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(in-out)</w:t>
            </w:r>
          </w:p>
        </w:tc>
        <w:tc>
          <w:tcPr>
            <w:tcW w:w="0" w:type="auto"/>
          </w:tcPr>
          <w:p w14:paraId="38CEDCC3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DC</w:t>
            </w:r>
          </w:p>
        </w:tc>
        <w:tc>
          <w:tcPr>
            <w:tcW w:w="0" w:type="auto"/>
          </w:tcPr>
          <w:p w14:paraId="72F7F3D0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20 mm/s</w:t>
            </w:r>
          </w:p>
        </w:tc>
        <w:tc>
          <w:tcPr>
            <w:tcW w:w="0" w:type="auto"/>
          </w:tcPr>
          <w:p w14:paraId="2D515DA3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≥97 mm</w:t>
            </w:r>
          </w:p>
        </w:tc>
        <w:tc>
          <w:tcPr>
            <w:tcW w:w="0" w:type="auto"/>
          </w:tcPr>
          <w:p w14:paraId="2581FF6C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Circular encoder on motor unit</w:t>
            </w:r>
          </w:p>
        </w:tc>
        <w:tc>
          <w:tcPr>
            <w:tcW w:w="0" w:type="auto"/>
          </w:tcPr>
          <w:p w14:paraId="07309779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≥ 90 nm (11150 </w:t>
            </w:r>
            <w:proofErr w:type="spellStart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cts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/mm)</w:t>
            </w:r>
          </w:p>
        </w:tc>
        <w:tc>
          <w:tcPr>
            <w:tcW w:w="0" w:type="auto"/>
          </w:tcPr>
          <w:p w14:paraId="6E2FAA23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±2 µm</w:t>
            </w:r>
          </w:p>
        </w:tc>
      </w:tr>
      <w:tr w:rsidR="00211C7E" w:rsidRPr="00770FBF" w14:paraId="3D346487" w14:textId="77777777" w:rsidTr="0071049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D3E485D" w14:textId="77777777" w:rsidR="00211C7E" w:rsidRPr="00770FBF" w:rsidRDefault="00211C7E" w:rsidP="00710492">
            <w:pPr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Beamstop</w:t>
            </w:r>
            <w:proofErr w:type="spellEnd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X</w:t>
            </w:r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(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wzdłuż</w:t>
            </w:r>
            <w:proofErr w:type="spellEnd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X-rays)</w:t>
            </w:r>
          </w:p>
        </w:tc>
        <w:tc>
          <w:tcPr>
            <w:tcW w:w="0" w:type="auto"/>
          </w:tcPr>
          <w:p w14:paraId="496AD47A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DC</w:t>
            </w:r>
          </w:p>
        </w:tc>
        <w:tc>
          <w:tcPr>
            <w:tcW w:w="0" w:type="auto"/>
          </w:tcPr>
          <w:p w14:paraId="22662B1B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20 mm/s</w:t>
            </w:r>
          </w:p>
        </w:tc>
        <w:tc>
          <w:tcPr>
            <w:tcW w:w="0" w:type="auto"/>
          </w:tcPr>
          <w:p w14:paraId="44907C08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≥52 ±1  mm</w:t>
            </w:r>
          </w:p>
        </w:tc>
        <w:tc>
          <w:tcPr>
            <w:tcW w:w="0" w:type="auto"/>
          </w:tcPr>
          <w:p w14:paraId="75F314D9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-</w:t>
            </w:r>
          </w:p>
        </w:tc>
        <w:tc>
          <w:tcPr>
            <w:tcW w:w="0" w:type="auto"/>
          </w:tcPr>
          <w:p w14:paraId="0973AFCA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≥ 90 nm (11150 </w:t>
            </w:r>
            <w:proofErr w:type="spellStart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cts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/mm)</w:t>
            </w:r>
          </w:p>
        </w:tc>
        <w:tc>
          <w:tcPr>
            <w:tcW w:w="0" w:type="auto"/>
          </w:tcPr>
          <w:p w14:paraId="362B7BAD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±2 µm</w:t>
            </w:r>
          </w:p>
        </w:tc>
      </w:tr>
      <w:tr w:rsidR="00211C7E" w:rsidRPr="00770FBF" w14:paraId="1E6BB869" w14:textId="77777777" w:rsidTr="000A0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14:paraId="1E01703A" w14:textId="77777777" w:rsidR="00211C7E" w:rsidRPr="00770FBF" w:rsidRDefault="00211C7E" w:rsidP="00710492">
            <w:pPr>
              <w:jc w:val="center"/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Beamstop</w:t>
            </w:r>
            <w:proofErr w:type="spellEnd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Y (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boki</w:t>
            </w:r>
            <w:proofErr w:type="spellEnd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)</w:t>
            </w:r>
          </w:p>
        </w:tc>
        <w:tc>
          <w:tcPr>
            <w:tcW w:w="0" w:type="auto"/>
          </w:tcPr>
          <w:p w14:paraId="383B2B1A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DC</w:t>
            </w:r>
          </w:p>
        </w:tc>
        <w:tc>
          <w:tcPr>
            <w:tcW w:w="0" w:type="auto"/>
          </w:tcPr>
          <w:p w14:paraId="50F1499A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2 mm/s</w:t>
            </w:r>
          </w:p>
        </w:tc>
        <w:tc>
          <w:tcPr>
            <w:tcW w:w="0" w:type="auto"/>
          </w:tcPr>
          <w:p w14:paraId="53A18BE2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4 mm</w:t>
            </w:r>
          </w:p>
        </w:tc>
        <w:tc>
          <w:tcPr>
            <w:tcW w:w="0" w:type="auto"/>
          </w:tcPr>
          <w:p w14:paraId="77804F5D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-</w:t>
            </w:r>
          </w:p>
        </w:tc>
        <w:tc>
          <w:tcPr>
            <w:tcW w:w="0" w:type="auto"/>
          </w:tcPr>
          <w:p w14:paraId="1071A311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≥ 16 nm (60620.8 </w:t>
            </w:r>
            <w:proofErr w:type="spellStart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cts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/mm)</w:t>
            </w:r>
          </w:p>
        </w:tc>
        <w:tc>
          <w:tcPr>
            <w:tcW w:w="0" w:type="auto"/>
          </w:tcPr>
          <w:p w14:paraId="72897573" w14:textId="77777777" w:rsidR="00211C7E" w:rsidRPr="00770FBF" w:rsidRDefault="00211C7E" w:rsidP="007104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±2 µm</w:t>
            </w:r>
          </w:p>
        </w:tc>
      </w:tr>
      <w:tr w:rsidR="00211C7E" w:rsidRPr="00770FBF" w14:paraId="577FFE75" w14:textId="77777777" w:rsidTr="0071049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E62E5" w14:textId="77777777" w:rsidR="00211C7E" w:rsidRPr="00770FBF" w:rsidRDefault="00211C7E" w:rsidP="00710492">
            <w:pPr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Beamstop</w:t>
            </w:r>
            <w:proofErr w:type="spellEnd"/>
            <w:r w:rsidRPr="00770FBF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Z (in-out)</w:t>
            </w:r>
          </w:p>
        </w:tc>
        <w:tc>
          <w:tcPr>
            <w:tcW w:w="0" w:type="auto"/>
          </w:tcPr>
          <w:p w14:paraId="6274C15B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DC</w:t>
            </w:r>
          </w:p>
        </w:tc>
        <w:tc>
          <w:tcPr>
            <w:tcW w:w="0" w:type="auto"/>
          </w:tcPr>
          <w:p w14:paraId="342ABBEB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20 mm/s</w:t>
            </w:r>
          </w:p>
        </w:tc>
        <w:tc>
          <w:tcPr>
            <w:tcW w:w="0" w:type="auto"/>
          </w:tcPr>
          <w:p w14:paraId="6677E383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≥97 mm</w:t>
            </w:r>
          </w:p>
        </w:tc>
        <w:tc>
          <w:tcPr>
            <w:tcW w:w="0" w:type="auto"/>
          </w:tcPr>
          <w:p w14:paraId="205FFAD3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-</w:t>
            </w:r>
          </w:p>
        </w:tc>
        <w:tc>
          <w:tcPr>
            <w:tcW w:w="0" w:type="auto"/>
          </w:tcPr>
          <w:p w14:paraId="1D262927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≥45 nm (22300 </w:t>
            </w:r>
            <w:proofErr w:type="spellStart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cts</w:t>
            </w:r>
            <w:proofErr w:type="spellEnd"/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/mm)</w:t>
            </w:r>
          </w:p>
        </w:tc>
        <w:tc>
          <w:tcPr>
            <w:tcW w:w="0" w:type="auto"/>
          </w:tcPr>
          <w:p w14:paraId="5C056EFE" w14:textId="77777777" w:rsidR="00211C7E" w:rsidRPr="00770FBF" w:rsidRDefault="00211C7E" w:rsidP="007104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770FBF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en-US" w:eastAsia="pl-PL"/>
                <w14:ligatures w14:val="none"/>
              </w:rPr>
              <w:t>≥ ±2 µm</w:t>
            </w:r>
          </w:p>
        </w:tc>
      </w:tr>
    </w:tbl>
    <w:p w14:paraId="6BD248AF" w14:textId="77777777" w:rsidR="00683A08" w:rsidRPr="00770FBF" w:rsidRDefault="00683A08" w:rsidP="00683A08">
      <w:pPr>
        <w:pStyle w:val="NormalnyWeb"/>
        <w:spacing w:line="360" w:lineRule="auto"/>
        <w:ind w:firstLine="360"/>
        <w:rPr>
          <w:lang w:val="en-US"/>
        </w:rPr>
      </w:pPr>
    </w:p>
    <w:p w14:paraId="7D3B5782" w14:textId="476938B7" w:rsidR="00683A08" w:rsidRPr="00770FBF" w:rsidRDefault="000A06BA" w:rsidP="00683A08">
      <w:pPr>
        <w:pStyle w:val="Nagwek2"/>
        <w:numPr>
          <w:ilvl w:val="0"/>
          <w:numId w:val="13"/>
        </w:numPr>
        <w:rPr>
          <w:lang w:eastAsia="pl-PL"/>
        </w:rPr>
      </w:pPr>
      <w:bookmarkStart w:id="13" w:name="_Toc195789577"/>
      <w:r>
        <w:rPr>
          <w:lang w:eastAsia="pl-PL"/>
        </w:rPr>
        <w:t>Wizualizacja próbki</w:t>
      </w:r>
      <w:bookmarkEnd w:id="13"/>
    </w:p>
    <w:p w14:paraId="689912D5" w14:textId="36FDB7DC" w:rsidR="00683A08" w:rsidRPr="00C54A99" w:rsidRDefault="00025CEC" w:rsidP="00683A08">
      <w:pPr>
        <w:ind w:firstLine="360"/>
        <w:rPr>
          <w:lang w:eastAsia="pl-PL"/>
        </w:rPr>
      </w:pPr>
      <w:proofErr w:type="spellStart"/>
      <w:r w:rsidRPr="6975E986">
        <w:rPr>
          <w:lang w:eastAsia="pl-PL"/>
        </w:rPr>
        <w:t>Mikrodyfraktometr</w:t>
      </w:r>
      <w:proofErr w:type="spellEnd"/>
      <w:r w:rsidRPr="6975E986">
        <w:rPr>
          <w:lang w:eastAsia="pl-PL"/>
        </w:rPr>
        <w:t xml:space="preserve"> </w:t>
      </w:r>
      <w:r w:rsidR="546B81E4" w:rsidRPr="6975E986">
        <w:rPr>
          <w:lang w:eastAsia="pl-PL"/>
        </w:rPr>
        <w:t xml:space="preserve">ma </w:t>
      </w:r>
      <w:r w:rsidRPr="6975E986">
        <w:rPr>
          <w:lang w:eastAsia="pl-PL"/>
        </w:rPr>
        <w:t xml:space="preserve">być wyposażony w systemy świetlne i </w:t>
      </w:r>
      <w:proofErr w:type="spellStart"/>
      <w:r w:rsidRPr="6975E986">
        <w:rPr>
          <w:lang w:eastAsia="pl-PL"/>
        </w:rPr>
        <w:t>wideomikroskop</w:t>
      </w:r>
      <w:proofErr w:type="spellEnd"/>
      <w:r w:rsidRPr="6975E986">
        <w:rPr>
          <w:lang w:eastAsia="pl-PL"/>
        </w:rPr>
        <w:t xml:space="preserve"> osiowy do wizualizacji i centrowania próbki. Szczegóły zostaną opisane w kolejnych sekcjach</w:t>
      </w:r>
      <w:r w:rsidR="00683A08" w:rsidRPr="00C54A99">
        <w:rPr>
          <w:lang w:eastAsia="pl-PL"/>
        </w:rPr>
        <w:t xml:space="preserve">. </w:t>
      </w:r>
    </w:p>
    <w:p w14:paraId="537451EA" w14:textId="56DB3C0B" w:rsidR="00683A08" w:rsidRPr="00BC3102" w:rsidRDefault="00683A08" w:rsidP="00683A08">
      <w:pPr>
        <w:pStyle w:val="Nagwek2"/>
        <w:ind w:firstLine="360"/>
        <w:rPr>
          <w:lang w:eastAsia="pl-PL"/>
        </w:rPr>
      </w:pPr>
      <w:bookmarkStart w:id="14" w:name="_Toc194580270"/>
      <w:bookmarkStart w:id="15" w:name="_Toc195789578"/>
      <w:r w:rsidRPr="00C54A99">
        <w:rPr>
          <w:lang w:eastAsia="pl-PL"/>
        </w:rPr>
        <w:t xml:space="preserve">2.3.1. </w:t>
      </w:r>
      <w:bookmarkEnd w:id="14"/>
      <w:r w:rsidR="00025CEC" w:rsidRPr="00BC3102">
        <w:rPr>
          <w:lang w:eastAsia="pl-PL"/>
        </w:rPr>
        <w:t>Mikroskop wideo w osi</w:t>
      </w:r>
      <w:bookmarkEnd w:id="15"/>
    </w:p>
    <w:p w14:paraId="3077645C" w14:textId="4A443FED" w:rsidR="00683A08" w:rsidRPr="00BC3102" w:rsidRDefault="00683A08" w:rsidP="00683A08">
      <w:pPr>
        <w:rPr>
          <w:lang w:eastAsia="pl-PL"/>
        </w:rPr>
      </w:pPr>
      <w:r w:rsidRPr="00BC3102">
        <w:rPr>
          <w:lang w:eastAsia="pl-PL"/>
        </w:rPr>
        <w:tab/>
      </w:r>
      <w:proofErr w:type="spellStart"/>
      <w:r w:rsidR="00BC3102" w:rsidRPr="00160E22">
        <w:rPr>
          <w:lang w:eastAsia="pl-PL"/>
        </w:rPr>
        <w:t>Mikrodyfraktometr</w:t>
      </w:r>
      <w:proofErr w:type="spellEnd"/>
      <w:r w:rsidR="00BC3102" w:rsidRPr="00160E22">
        <w:rPr>
          <w:lang w:eastAsia="pl-PL"/>
        </w:rPr>
        <w:t xml:space="preserve"> </w:t>
      </w:r>
      <w:r w:rsidR="1A633C07" w:rsidRPr="00160E22">
        <w:rPr>
          <w:lang w:eastAsia="pl-PL"/>
        </w:rPr>
        <w:t xml:space="preserve">ma </w:t>
      </w:r>
      <w:r w:rsidR="00BC3102" w:rsidRPr="00160E22">
        <w:rPr>
          <w:lang w:eastAsia="pl-PL"/>
        </w:rPr>
        <w:t xml:space="preserve">być wyposażony w </w:t>
      </w:r>
      <w:proofErr w:type="spellStart"/>
      <w:r w:rsidR="00BC3102" w:rsidRPr="00160E22">
        <w:rPr>
          <w:lang w:eastAsia="pl-PL"/>
        </w:rPr>
        <w:t>wideomikroskop</w:t>
      </w:r>
      <w:proofErr w:type="spellEnd"/>
      <w:r w:rsidR="00BC3102" w:rsidRPr="00160E22">
        <w:rPr>
          <w:lang w:eastAsia="pl-PL"/>
        </w:rPr>
        <w:t xml:space="preserve"> osiowy z cyfrowymi kamerami o wysokiej rozdzielczości. Powiększenie powinno wynosić co najmniej od x2,5 do x30. Dostęp do wszystkich poziomów powiększenia powinien być natychmiastowy. Oprogramowanie musi być w pełni zintegrowane z szybkim serwerem obrazów w celu dystrybucji wielu obrazów</w:t>
      </w:r>
      <w:r w:rsidRPr="00BC3102">
        <w:rPr>
          <w:lang w:eastAsia="pl-PL"/>
        </w:rPr>
        <w:t xml:space="preserve">. </w:t>
      </w:r>
    </w:p>
    <w:p w14:paraId="6F51FBE7" w14:textId="263F5F4A" w:rsidR="00683A08" w:rsidRPr="00C54A99" w:rsidRDefault="00683A08" w:rsidP="00683A08">
      <w:pPr>
        <w:pStyle w:val="Nagwek2"/>
        <w:ind w:firstLine="360"/>
        <w:rPr>
          <w:lang w:eastAsia="pl-PL"/>
        </w:rPr>
      </w:pPr>
      <w:bookmarkStart w:id="16" w:name="_Toc194580271"/>
      <w:bookmarkStart w:id="17" w:name="_Toc195789579"/>
      <w:r w:rsidRPr="00C54A99">
        <w:rPr>
          <w:lang w:eastAsia="pl-PL"/>
        </w:rPr>
        <w:t xml:space="preserve">2.3.2. </w:t>
      </w:r>
      <w:bookmarkEnd w:id="16"/>
      <w:r w:rsidR="005A7421" w:rsidRPr="00C54A99">
        <w:rPr>
          <w:lang w:eastAsia="pl-PL"/>
        </w:rPr>
        <w:t>System oświetlenia tylnego</w:t>
      </w:r>
      <w:bookmarkEnd w:id="17"/>
      <w:r w:rsidRPr="00C54A99">
        <w:rPr>
          <w:lang w:eastAsia="pl-PL"/>
        </w:rPr>
        <w:t xml:space="preserve"> </w:t>
      </w:r>
    </w:p>
    <w:p w14:paraId="3739CEFF" w14:textId="4C2E70DC" w:rsidR="00683A08" w:rsidRPr="005A7421" w:rsidRDefault="00683A08" w:rsidP="00683A08">
      <w:pPr>
        <w:rPr>
          <w:lang w:eastAsia="pl-PL"/>
        </w:rPr>
      </w:pPr>
      <w:r w:rsidRPr="00C54A99">
        <w:rPr>
          <w:lang w:eastAsia="pl-PL"/>
        </w:rPr>
        <w:tab/>
      </w:r>
      <w:r w:rsidR="005A7421" w:rsidRPr="005A7421">
        <w:rPr>
          <w:lang w:eastAsia="pl-PL"/>
        </w:rPr>
        <w:t>S</w:t>
      </w:r>
      <w:r w:rsidR="005A7421" w:rsidRPr="00160E22">
        <w:rPr>
          <w:lang w:eastAsia="pl-PL"/>
        </w:rPr>
        <w:t xml:space="preserve">ystem </w:t>
      </w:r>
      <w:r w:rsidR="6DA95F5D" w:rsidRPr="00160E22">
        <w:rPr>
          <w:lang w:eastAsia="pl-PL"/>
        </w:rPr>
        <w:t xml:space="preserve">ma </w:t>
      </w:r>
      <w:r w:rsidR="005A7421" w:rsidRPr="00160E22">
        <w:rPr>
          <w:lang w:eastAsia="pl-PL"/>
        </w:rPr>
        <w:t>być wyposażony w zintegrowany system podświetlenia z oświetleniem przechodzącym. Powinien być w nim zawarty światłowodowy przewodnik o długości 5 m.</w:t>
      </w:r>
    </w:p>
    <w:p w14:paraId="3FC6CCB3" w14:textId="27E8E25F" w:rsidR="00683A08" w:rsidRPr="00C93019" w:rsidRDefault="00683A08" w:rsidP="00683A08">
      <w:pPr>
        <w:pStyle w:val="Nagwek2"/>
        <w:ind w:firstLine="360"/>
        <w:rPr>
          <w:lang w:eastAsia="pl-PL"/>
        </w:rPr>
      </w:pPr>
      <w:bookmarkStart w:id="18" w:name="_Toc194580272"/>
      <w:bookmarkStart w:id="19" w:name="_Toc195789580"/>
      <w:r w:rsidRPr="00C54A99">
        <w:rPr>
          <w:lang w:eastAsia="pl-PL"/>
        </w:rPr>
        <w:t xml:space="preserve">2.3.3. </w:t>
      </w:r>
      <w:bookmarkEnd w:id="18"/>
      <w:r w:rsidR="005A7421" w:rsidRPr="00C93019">
        <w:rPr>
          <w:lang w:eastAsia="pl-PL"/>
        </w:rPr>
        <w:t>System oświetlenia przedniego</w:t>
      </w:r>
      <w:bookmarkEnd w:id="19"/>
      <w:r w:rsidRPr="00C93019">
        <w:rPr>
          <w:lang w:eastAsia="pl-PL"/>
        </w:rPr>
        <w:t xml:space="preserve"> </w:t>
      </w:r>
    </w:p>
    <w:p w14:paraId="48A7D47B" w14:textId="287ADE2A" w:rsidR="00683A08" w:rsidRPr="00C93019" w:rsidRDefault="00683A08" w:rsidP="00683A08">
      <w:pPr>
        <w:rPr>
          <w:lang w:eastAsia="pl-PL"/>
        </w:rPr>
      </w:pPr>
      <w:r w:rsidRPr="00C93019">
        <w:rPr>
          <w:lang w:eastAsia="pl-PL"/>
        </w:rPr>
        <w:tab/>
      </w:r>
      <w:r w:rsidR="00C93019" w:rsidRPr="00C93019">
        <w:rPr>
          <w:lang w:eastAsia="pl-PL"/>
        </w:rPr>
        <w:t xml:space="preserve">System </w:t>
      </w:r>
      <w:r w:rsidR="2998CD94" w:rsidRPr="00C93019">
        <w:rPr>
          <w:lang w:eastAsia="pl-PL"/>
        </w:rPr>
        <w:t xml:space="preserve">ma </w:t>
      </w:r>
      <w:r w:rsidR="00C93019" w:rsidRPr="00C93019">
        <w:rPr>
          <w:lang w:eastAsia="pl-PL"/>
        </w:rPr>
        <w:t xml:space="preserve">być wyposażony w oświetlenie odbite – system </w:t>
      </w:r>
      <w:proofErr w:type="spellStart"/>
      <w:r w:rsidR="00C93019" w:rsidRPr="6975E986">
        <w:rPr>
          <w:i/>
          <w:iCs/>
          <w:lang w:eastAsia="pl-PL"/>
        </w:rPr>
        <w:t>frontlight</w:t>
      </w:r>
      <w:proofErr w:type="spellEnd"/>
      <w:r w:rsidR="00C93019" w:rsidRPr="00C93019">
        <w:rPr>
          <w:lang w:eastAsia="pl-PL"/>
        </w:rPr>
        <w:t xml:space="preserve"> z dwoma źródłami światła pracującymi w odbiciu. Powinny być dołączone dwa światłowody o długości 5 m każdy – po jednym dla każdego źródła światła. Źródła światła powinny być zamontowane do głowicy obiektywu mikroskopu wideo osiowego</w:t>
      </w:r>
      <w:r w:rsidRPr="00C93019">
        <w:rPr>
          <w:lang w:eastAsia="pl-PL"/>
        </w:rPr>
        <w:t xml:space="preserve">. </w:t>
      </w:r>
    </w:p>
    <w:p w14:paraId="698F4A46" w14:textId="75732075" w:rsidR="00683A08" w:rsidRDefault="00FC0C4C" w:rsidP="00683A08">
      <w:pPr>
        <w:pStyle w:val="Nagwek2"/>
        <w:numPr>
          <w:ilvl w:val="0"/>
          <w:numId w:val="13"/>
        </w:numPr>
        <w:rPr>
          <w:lang w:eastAsia="pl-PL"/>
        </w:rPr>
      </w:pPr>
      <w:bookmarkStart w:id="20" w:name="_Toc194580273"/>
      <w:bookmarkStart w:id="21" w:name="_Toc195789581"/>
      <w:r>
        <w:rPr>
          <w:lang w:eastAsia="pl-PL"/>
        </w:rPr>
        <w:lastRenderedPageBreak/>
        <w:t xml:space="preserve">Główka goniometryczna </w:t>
      </w:r>
      <w:r w:rsidR="00683A08" w:rsidRPr="00770FBF">
        <w:rPr>
          <w:lang w:eastAsia="pl-PL"/>
        </w:rPr>
        <w:t>Kappa</w:t>
      </w:r>
      <w:bookmarkEnd w:id="20"/>
      <w:bookmarkEnd w:id="21"/>
      <w:r w:rsidR="00683A08" w:rsidRPr="00770FBF">
        <w:rPr>
          <w:lang w:eastAsia="pl-PL"/>
        </w:rPr>
        <w:t xml:space="preserve"> </w:t>
      </w:r>
    </w:p>
    <w:p w14:paraId="3921463B" w14:textId="0CA9B871" w:rsidR="00683A08" w:rsidRPr="004456CD" w:rsidRDefault="004456CD" w:rsidP="00683A08">
      <w:pPr>
        <w:ind w:firstLine="360"/>
        <w:rPr>
          <w:lang w:eastAsia="pl-PL"/>
        </w:rPr>
      </w:pPr>
      <w:r w:rsidRPr="6975E986">
        <w:rPr>
          <w:lang w:eastAsia="pl-PL"/>
        </w:rPr>
        <w:t xml:space="preserve">Dyfraktometr </w:t>
      </w:r>
      <w:r w:rsidR="793CC7E2" w:rsidRPr="6975E986">
        <w:rPr>
          <w:lang w:eastAsia="pl-PL"/>
        </w:rPr>
        <w:t xml:space="preserve">musi </w:t>
      </w:r>
      <w:r w:rsidRPr="6975E986">
        <w:rPr>
          <w:lang w:eastAsia="pl-PL"/>
        </w:rPr>
        <w:t xml:space="preserve">być wyposażony w główkę goniometryczną kappa, kompatybilną ze stolikiem centrującym. Mocowanie główki powinno umożliwiać szybką i prostą wymianę głowicy. Głowica powinna być automatycznie rozpoznawana przez system za pomocą indywidualnego kodu cyfrowego lub innego rozwiązania. Główka goniometryczna powinna być dostosowana do magnetycznego mocowania próbek na uchwytach SPINE i </w:t>
      </w:r>
      <w:proofErr w:type="spellStart"/>
      <w:r w:rsidRPr="6975E986">
        <w:rPr>
          <w:lang w:eastAsia="pl-PL"/>
        </w:rPr>
        <w:t>miniSPINE</w:t>
      </w:r>
      <w:proofErr w:type="spellEnd"/>
      <w:r w:rsidR="00683A08" w:rsidRPr="6975E986">
        <w:rPr>
          <w:lang w:eastAsia="pl-PL"/>
        </w:rPr>
        <w:t xml:space="preserve">. </w:t>
      </w:r>
    </w:p>
    <w:p w14:paraId="4C90275D" w14:textId="3A298298" w:rsidR="00683A08" w:rsidRPr="000C699F" w:rsidRDefault="00C25B3F" w:rsidP="00683A08">
      <w:pPr>
        <w:pStyle w:val="Nagwek2"/>
        <w:numPr>
          <w:ilvl w:val="0"/>
          <w:numId w:val="13"/>
        </w:numPr>
        <w:rPr>
          <w:lang w:val="en-GB" w:eastAsia="pl-PL"/>
        </w:rPr>
      </w:pPr>
      <w:bookmarkStart w:id="22" w:name="_Toc195789582"/>
      <w:proofErr w:type="spellStart"/>
      <w:r>
        <w:rPr>
          <w:lang w:val="en-GB" w:eastAsia="pl-PL"/>
        </w:rPr>
        <w:t>Mechanizm</w:t>
      </w:r>
      <w:proofErr w:type="spellEnd"/>
      <w:r>
        <w:rPr>
          <w:lang w:val="en-GB" w:eastAsia="pl-PL"/>
        </w:rPr>
        <w:t xml:space="preserve"> </w:t>
      </w:r>
      <w:proofErr w:type="spellStart"/>
      <w:r>
        <w:rPr>
          <w:lang w:val="en-GB" w:eastAsia="pl-PL"/>
        </w:rPr>
        <w:t>podtrzymujący</w:t>
      </w:r>
      <w:proofErr w:type="spellEnd"/>
      <w:r>
        <w:rPr>
          <w:lang w:val="en-GB" w:eastAsia="pl-PL"/>
        </w:rPr>
        <w:t xml:space="preserve"> </w:t>
      </w:r>
      <w:proofErr w:type="spellStart"/>
      <w:r>
        <w:rPr>
          <w:lang w:val="en-GB" w:eastAsia="pl-PL"/>
        </w:rPr>
        <w:t>kowadełko</w:t>
      </w:r>
      <w:proofErr w:type="spellEnd"/>
      <w:r>
        <w:rPr>
          <w:lang w:val="en-GB" w:eastAsia="pl-PL"/>
        </w:rPr>
        <w:t xml:space="preserve"> </w:t>
      </w:r>
      <w:proofErr w:type="spellStart"/>
      <w:r>
        <w:rPr>
          <w:lang w:val="en-GB" w:eastAsia="pl-PL"/>
        </w:rPr>
        <w:t>diamentowe</w:t>
      </w:r>
      <w:bookmarkEnd w:id="22"/>
      <w:proofErr w:type="spellEnd"/>
    </w:p>
    <w:p w14:paraId="51430422" w14:textId="66158FF4" w:rsidR="00683A08" w:rsidRPr="003C2A16" w:rsidRDefault="003C2A16">
      <w:pPr>
        <w:ind w:firstLine="360"/>
        <w:rPr>
          <w:lang w:eastAsia="pl-PL"/>
        </w:rPr>
      </w:pPr>
      <w:r w:rsidRPr="6975E986">
        <w:rPr>
          <w:lang w:eastAsia="pl-PL"/>
        </w:rPr>
        <w:t xml:space="preserve">Dyfraktometr </w:t>
      </w:r>
      <w:r w:rsidR="0F6F659F" w:rsidRPr="6975E986">
        <w:rPr>
          <w:lang w:eastAsia="pl-PL"/>
        </w:rPr>
        <w:t xml:space="preserve">musi </w:t>
      </w:r>
      <w:r w:rsidRPr="6975E986">
        <w:rPr>
          <w:lang w:eastAsia="pl-PL"/>
        </w:rPr>
        <w:t>być wyposażony w dodatkową głowicę goniometru dedykowaną do eksperymentów z komórkami kowadełkowymi diamentowymi. Mocowanie głowicy powinno umożliwiać szybką i prostą wymianę głowicy. Głowica powinna być automatycznie rozpoznawana przez system za pomocą indywidualnego kodu cyfrowego lub innego rozwiązania. Szczegóły dotyczące montażu DAC na głowicy goniometru pozostawia się Wykonawcy i powinny zostać przedstawione na etapie wstępnego przeglądu projektu w ramach Umowy</w:t>
      </w:r>
      <w:r w:rsidR="00683A08" w:rsidRPr="6975E986">
        <w:rPr>
          <w:lang w:eastAsia="pl-PL"/>
        </w:rPr>
        <w:t xml:space="preserve">. </w:t>
      </w:r>
    </w:p>
    <w:p w14:paraId="13027508" w14:textId="7F98A1E3" w:rsidR="00683A08" w:rsidRDefault="003C2A16" w:rsidP="00683A08">
      <w:pPr>
        <w:pStyle w:val="Nagwek2"/>
        <w:numPr>
          <w:ilvl w:val="0"/>
          <w:numId w:val="13"/>
        </w:numPr>
        <w:rPr>
          <w:lang w:eastAsia="pl-PL"/>
        </w:rPr>
      </w:pPr>
      <w:bookmarkStart w:id="23" w:name="_Toc195789583"/>
      <w:r w:rsidRPr="6975E986">
        <w:rPr>
          <w:lang w:eastAsia="pl-PL"/>
        </w:rPr>
        <w:t>Stolik pod detektor fluorescencji</w:t>
      </w:r>
      <w:bookmarkEnd w:id="23"/>
    </w:p>
    <w:p w14:paraId="60505DDD" w14:textId="644079BA" w:rsidR="00683A08" w:rsidRPr="00B01E5D" w:rsidRDefault="00B01E5D" w:rsidP="00683A08">
      <w:pPr>
        <w:ind w:firstLine="360"/>
        <w:rPr>
          <w:lang w:eastAsia="pl-PL"/>
        </w:rPr>
      </w:pPr>
      <w:r w:rsidRPr="6975E986">
        <w:rPr>
          <w:lang w:eastAsia="pl-PL"/>
        </w:rPr>
        <w:t xml:space="preserve">System </w:t>
      </w:r>
      <w:r w:rsidR="04036C18" w:rsidRPr="6975E986">
        <w:rPr>
          <w:lang w:eastAsia="pl-PL"/>
        </w:rPr>
        <w:t xml:space="preserve">musi </w:t>
      </w:r>
      <w:r w:rsidRPr="6975E986">
        <w:rPr>
          <w:lang w:eastAsia="pl-PL"/>
        </w:rPr>
        <w:t>być wyposażony w stół detektora fluorescencyjnego, pneumatycznie wysuwany. Stół powinien być dostosowany do konkretnego modelu detektora. Szczegóły dotyczące detektora zostaną przekazane wykonawcy na etapie projektowania. Detektor fluorescencyjny powinien być w pełni zintegrowany z oprogramowaniem i umożliwiać zdalne sterowanie i obsługę blokady</w:t>
      </w:r>
      <w:r w:rsidR="00683A08" w:rsidRPr="6975E986">
        <w:rPr>
          <w:lang w:eastAsia="pl-PL"/>
        </w:rPr>
        <w:t xml:space="preserve">. </w:t>
      </w:r>
    </w:p>
    <w:p w14:paraId="062DDCB4" w14:textId="4D003303" w:rsidR="00683A08" w:rsidRDefault="00B01E5D" w:rsidP="00683A08">
      <w:pPr>
        <w:pStyle w:val="Nagwek2"/>
        <w:numPr>
          <w:ilvl w:val="0"/>
          <w:numId w:val="13"/>
        </w:numPr>
        <w:rPr>
          <w:lang w:eastAsia="pl-PL"/>
        </w:rPr>
      </w:pPr>
      <w:bookmarkStart w:id="24" w:name="_Toc195789584"/>
      <w:r>
        <w:rPr>
          <w:lang w:eastAsia="pl-PL"/>
        </w:rPr>
        <w:t>Migawka rentgenowska</w:t>
      </w:r>
      <w:bookmarkEnd w:id="24"/>
    </w:p>
    <w:p w14:paraId="28788AB5" w14:textId="188AB89A" w:rsidR="00683A08" w:rsidRPr="00B01E5D" w:rsidRDefault="00920373" w:rsidP="00683A08">
      <w:pPr>
        <w:ind w:firstLine="360"/>
        <w:rPr>
          <w:lang w:val="en-GB" w:eastAsia="pl-PL"/>
        </w:rPr>
      </w:pPr>
      <w:r w:rsidRPr="6975E986">
        <w:rPr>
          <w:lang w:eastAsia="pl-PL"/>
        </w:rPr>
        <w:t xml:space="preserve">System </w:t>
      </w:r>
      <w:r w:rsidR="0138E9B2" w:rsidRPr="6975E986">
        <w:rPr>
          <w:lang w:eastAsia="pl-PL"/>
        </w:rPr>
        <w:t xml:space="preserve">musi </w:t>
      </w:r>
      <w:r w:rsidRPr="6975E986">
        <w:rPr>
          <w:lang w:eastAsia="pl-PL"/>
        </w:rPr>
        <w:t>być wyposażony w szybką migawkę rentgenowską (</w:t>
      </w:r>
      <w:r w:rsidR="50739A27" w:rsidRPr="6975E986">
        <w:rPr>
          <w:lang w:eastAsia="pl-PL"/>
        </w:rPr>
        <w:t xml:space="preserve">ang. </w:t>
      </w:r>
      <w:r w:rsidRPr="6975E986">
        <w:rPr>
          <w:i/>
          <w:iCs/>
          <w:lang w:eastAsia="pl-PL"/>
        </w:rPr>
        <w:t>X-</w:t>
      </w:r>
      <w:proofErr w:type="spellStart"/>
      <w:r w:rsidRPr="6975E986">
        <w:rPr>
          <w:i/>
          <w:iCs/>
          <w:lang w:eastAsia="pl-PL"/>
        </w:rPr>
        <w:t>ray</w:t>
      </w:r>
      <w:proofErr w:type="spellEnd"/>
      <w:r w:rsidRPr="6975E986">
        <w:rPr>
          <w:i/>
          <w:iCs/>
          <w:lang w:eastAsia="pl-PL"/>
        </w:rPr>
        <w:t xml:space="preserve"> </w:t>
      </w:r>
      <w:proofErr w:type="spellStart"/>
      <w:r w:rsidRPr="6975E986">
        <w:rPr>
          <w:i/>
          <w:iCs/>
          <w:lang w:eastAsia="pl-PL"/>
        </w:rPr>
        <w:t>shutter</w:t>
      </w:r>
      <w:proofErr w:type="spellEnd"/>
      <w:r w:rsidRPr="6975E986">
        <w:rPr>
          <w:lang w:eastAsia="pl-PL"/>
        </w:rPr>
        <w:t>) z mechaniką bez tarcia i powinien być zamontowany na ramie montażowej dyfraktometru. Elektronika migawki powinna być zintegrowana ze stojakiem dyfraktometru</w:t>
      </w:r>
      <w:r w:rsidR="00683A08" w:rsidRPr="6975E986">
        <w:rPr>
          <w:lang w:val="en-GB" w:eastAsia="pl-PL"/>
        </w:rPr>
        <w:t xml:space="preserve">. </w:t>
      </w:r>
    </w:p>
    <w:p w14:paraId="336E06C4" w14:textId="1DE756CE" w:rsidR="00683A08" w:rsidRDefault="00213CAF" w:rsidP="00683A08">
      <w:pPr>
        <w:pStyle w:val="Nagwek2"/>
        <w:numPr>
          <w:ilvl w:val="0"/>
          <w:numId w:val="13"/>
        </w:numPr>
        <w:rPr>
          <w:lang w:eastAsia="pl-PL"/>
        </w:rPr>
      </w:pPr>
      <w:bookmarkStart w:id="25" w:name="_Toc195789585"/>
      <w:r>
        <w:rPr>
          <w:lang w:eastAsia="pl-PL"/>
        </w:rPr>
        <w:t>Skrzynka interfejsu</w:t>
      </w:r>
      <w:bookmarkEnd w:id="25"/>
    </w:p>
    <w:p w14:paraId="1F064BD8" w14:textId="403A4372" w:rsidR="00683A08" w:rsidRPr="00213CAF" w:rsidRDefault="00213CAF" w:rsidP="00683A08">
      <w:pPr>
        <w:ind w:firstLine="360"/>
        <w:rPr>
          <w:lang w:eastAsia="pl-PL"/>
        </w:rPr>
      </w:pPr>
      <w:r w:rsidRPr="6975E986">
        <w:rPr>
          <w:lang w:eastAsia="pl-PL"/>
        </w:rPr>
        <w:t xml:space="preserve">Oferta </w:t>
      </w:r>
      <w:r w:rsidR="4FA709C5" w:rsidRPr="6975E986">
        <w:rPr>
          <w:lang w:eastAsia="pl-PL"/>
        </w:rPr>
        <w:t xml:space="preserve">musi </w:t>
      </w:r>
      <w:r w:rsidRPr="6975E986">
        <w:rPr>
          <w:lang w:eastAsia="pl-PL"/>
        </w:rPr>
        <w:t xml:space="preserve">obejmować elektronikę interfejsu dla robota do wymiany próbek. Dokładny model robota zostanie określony na etapie wstępnego projektu umowy. Skrzynka interfejsu </w:t>
      </w:r>
      <w:r w:rsidR="01695928" w:rsidRPr="6975E986">
        <w:rPr>
          <w:lang w:eastAsia="pl-PL"/>
        </w:rPr>
        <w:t xml:space="preserve">musi </w:t>
      </w:r>
      <w:r w:rsidRPr="6975E986">
        <w:rPr>
          <w:lang w:eastAsia="pl-PL"/>
        </w:rPr>
        <w:t xml:space="preserve">umożliwiać dopasowanie sygnałów robota do wymiany próbek do sygnałów sterujących </w:t>
      </w:r>
      <w:r w:rsidRPr="6975E986">
        <w:rPr>
          <w:lang w:eastAsia="pl-PL"/>
        </w:rPr>
        <w:lastRenderedPageBreak/>
        <w:t xml:space="preserve">dyfraktometrem i umożliwiać synchronizację między robotem do wymiany próbek, stołem </w:t>
      </w:r>
      <w:proofErr w:type="spellStart"/>
      <w:r w:rsidRPr="6975E986">
        <w:rPr>
          <w:lang w:eastAsia="pl-PL"/>
        </w:rPr>
        <w:t>krioretrakcyjnym</w:t>
      </w:r>
      <w:proofErr w:type="spellEnd"/>
      <w:r w:rsidRPr="6975E986">
        <w:rPr>
          <w:lang w:eastAsia="pl-PL"/>
        </w:rPr>
        <w:t xml:space="preserve"> i przesłoną</w:t>
      </w:r>
      <w:r w:rsidR="00683A08" w:rsidRPr="6975E986">
        <w:rPr>
          <w:lang w:eastAsia="pl-PL"/>
        </w:rPr>
        <w:t xml:space="preserve">. </w:t>
      </w:r>
    </w:p>
    <w:p w14:paraId="4F98719D" w14:textId="1FE8F009" w:rsidR="00683A08" w:rsidRPr="00683A08" w:rsidRDefault="00213CAF" w:rsidP="00683A08">
      <w:pPr>
        <w:pStyle w:val="Nagwek2"/>
        <w:numPr>
          <w:ilvl w:val="0"/>
          <w:numId w:val="13"/>
        </w:numPr>
      </w:pPr>
      <w:bookmarkStart w:id="26" w:name="_Toc195789586"/>
      <w:r>
        <w:t>Laser do pozycjonowania</w:t>
      </w:r>
      <w:bookmarkEnd w:id="26"/>
    </w:p>
    <w:p w14:paraId="264B6D34" w14:textId="163A473B" w:rsidR="00683A08" w:rsidRPr="00826BC9" w:rsidRDefault="004266C5" w:rsidP="00683A08">
      <w:pPr>
        <w:ind w:firstLine="360"/>
        <w:rPr>
          <w:lang w:val="en-US" w:eastAsia="pl-PL"/>
        </w:rPr>
      </w:pPr>
      <w:r w:rsidRPr="6975E986">
        <w:rPr>
          <w:lang w:eastAsia="pl-PL"/>
        </w:rPr>
        <w:t xml:space="preserve">Do celów wyrównania konieczne jest wyposażenie systemu w zielony laser wyrównujący do celów wyrównania bez promieni rentgenowskich. Laser wyrównujący powinien umożliwiać ręczne współosiowe wyrównanie z 5 stopniami swobody (x, y, z, pochylenie, odchylenie). </w:t>
      </w:r>
      <w:r w:rsidRPr="6975E986">
        <w:rPr>
          <w:lang w:val="en-US" w:eastAsia="pl-PL"/>
        </w:rPr>
        <w:t xml:space="preserve">Laser </w:t>
      </w:r>
      <w:r w:rsidR="47634794" w:rsidRPr="6975E986">
        <w:rPr>
          <w:lang w:val="en-US" w:eastAsia="pl-PL"/>
        </w:rPr>
        <w:t xml:space="preserve">ma </w:t>
      </w:r>
      <w:proofErr w:type="spellStart"/>
      <w:r w:rsidRPr="6975E986">
        <w:rPr>
          <w:lang w:val="en-US" w:eastAsia="pl-PL"/>
        </w:rPr>
        <w:t>mieć</w:t>
      </w:r>
      <w:proofErr w:type="spellEnd"/>
      <w:r w:rsidRPr="6975E986">
        <w:rPr>
          <w:lang w:val="en-US" w:eastAsia="pl-PL"/>
        </w:rPr>
        <w:t xml:space="preserve"> </w:t>
      </w:r>
      <w:proofErr w:type="spellStart"/>
      <w:r w:rsidRPr="6975E986">
        <w:rPr>
          <w:lang w:val="en-US" w:eastAsia="pl-PL"/>
        </w:rPr>
        <w:t>możliwość</w:t>
      </w:r>
      <w:proofErr w:type="spellEnd"/>
      <w:r w:rsidRPr="6975E986">
        <w:rPr>
          <w:lang w:val="en-US" w:eastAsia="pl-PL"/>
        </w:rPr>
        <w:t xml:space="preserve"> </w:t>
      </w:r>
      <w:proofErr w:type="spellStart"/>
      <w:r w:rsidRPr="6975E986">
        <w:rPr>
          <w:lang w:val="en-US" w:eastAsia="pl-PL"/>
        </w:rPr>
        <w:t>zamontowania</w:t>
      </w:r>
      <w:proofErr w:type="spellEnd"/>
      <w:r w:rsidRPr="6975E986">
        <w:rPr>
          <w:lang w:val="en-US" w:eastAsia="pl-PL"/>
        </w:rPr>
        <w:t xml:space="preserve"> </w:t>
      </w:r>
      <w:proofErr w:type="spellStart"/>
      <w:r w:rsidRPr="6975E986">
        <w:rPr>
          <w:lang w:val="en-US" w:eastAsia="pl-PL"/>
        </w:rPr>
        <w:t>na</w:t>
      </w:r>
      <w:proofErr w:type="spellEnd"/>
      <w:r w:rsidRPr="6975E986">
        <w:rPr>
          <w:lang w:val="en-US" w:eastAsia="pl-PL"/>
        </w:rPr>
        <w:t xml:space="preserve"> ramie </w:t>
      </w:r>
      <w:proofErr w:type="spellStart"/>
      <w:r w:rsidRPr="6975E986">
        <w:rPr>
          <w:lang w:val="en-US" w:eastAsia="pl-PL"/>
        </w:rPr>
        <w:t>mikrodyfraktometru</w:t>
      </w:r>
      <w:proofErr w:type="spellEnd"/>
      <w:r w:rsidR="00683A08" w:rsidRPr="6975E986">
        <w:rPr>
          <w:lang w:val="en-US" w:eastAsia="pl-PL"/>
        </w:rPr>
        <w:t xml:space="preserve">. </w:t>
      </w:r>
    </w:p>
    <w:p w14:paraId="36A91D36" w14:textId="23A4F569" w:rsidR="00683A08" w:rsidRDefault="004266C5" w:rsidP="00683A08">
      <w:pPr>
        <w:pStyle w:val="Nagwek2"/>
        <w:numPr>
          <w:ilvl w:val="0"/>
          <w:numId w:val="13"/>
        </w:numPr>
        <w:rPr>
          <w:lang w:eastAsia="pl-PL"/>
        </w:rPr>
      </w:pPr>
      <w:bookmarkStart w:id="27" w:name="_Toc195789587"/>
      <w:r>
        <w:rPr>
          <w:lang w:eastAsia="pl-PL"/>
        </w:rPr>
        <w:t>Kontrola</w:t>
      </w:r>
      <w:bookmarkEnd w:id="27"/>
    </w:p>
    <w:p w14:paraId="75600422" w14:textId="54CB5B9A" w:rsidR="00B86BD2" w:rsidRPr="00036097" w:rsidRDefault="12106791" w:rsidP="00B86BD2">
      <w:pPr>
        <w:pStyle w:val="Legenda"/>
        <w:keepNext/>
        <w:spacing w:line="360" w:lineRule="auto"/>
        <w:ind w:firstLine="360"/>
      </w:pPr>
      <w:r w:rsidRPr="6975E986">
        <w:rPr>
          <w:i w:val="0"/>
          <w:iCs w:val="0"/>
          <w:color w:val="auto"/>
          <w:sz w:val="24"/>
          <w:szCs w:val="24"/>
          <w:lang w:eastAsia="pl-PL"/>
        </w:rPr>
        <w:t xml:space="preserve">Wykonawca </w:t>
      </w:r>
      <w:r w:rsidR="00B86BD2" w:rsidRPr="6975E986">
        <w:rPr>
          <w:i w:val="0"/>
          <w:iCs w:val="0"/>
          <w:color w:val="auto"/>
          <w:sz w:val="24"/>
          <w:szCs w:val="24"/>
          <w:lang w:eastAsia="pl-PL"/>
        </w:rPr>
        <w:t xml:space="preserve">jest zobowiązany do przestrzegania wymagań technologicznych opisanych w normie </w:t>
      </w:r>
      <w:r w:rsidR="27CBD370" w:rsidRPr="6975E986">
        <w:rPr>
          <w:i w:val="0"/>
          <w:iCs w:val="0"/>
          <w:color w:val="auto"/>
          <w:sz w:val="24"/>
          <w:szCs w:val="24"/>
          <w:lang w:eastAsia="pl-PL"/>
        </w:rPr>
        <w:t xml:space="preserve">Standardy SOLARIS dla </w:t>
      </w:r>
      <w:r w:rsidR="3EC7D83E" w:rsidRPr="6975E986">
        <w:rPr>
          <w:i w:val="0"/>
          <w:iCs w:val="0"/>
          <w:color w:val="auto"/>
          <w:sz w:val="24"/>
          <w:szCs w:val="24"/>
          <w:lang w:eastAsia="pl-PL"/>
        </w:rPr>
        <w:t>S</w:t>
      </w:r>
      <w:r w:rsidR="27CBD370" w:rsidRPr="6975E986">
        <w:rPr>
          <w:i w:val="0"/>
          <w:iCs w:val="0"/>
          <w:color w:val="auto"/>
          <w:sz w:val="24"/>
          <w:szCs w:val="24"/>
          <w:lang w:eastAsia="pl-PL"/>
        </w:rPr>
        <w:t xml:space="preserve">ystemu </w:t>
      </w:r>
      <w:r w:rsidR="1A53D3B2" w:rsidRPr="6975E986">
        <w:rPr>
          <w:i w:val="0"/>
          <w:iCs w:val="0"/>
          <w:color w:val="auto"/>
          <w:sz w:val="24"/>
          <w:szCs w:val="24"/>
          <w:lang w:eastAsia="pl-PL"/>
        </w:rPr>
        <w:t>K</w:t>
      </w:r>
      <w:r w:rsidR="27CBD370" w:rsidRPr="6975E986">
        <w:rPr>
          <w:i w:val="0"/>
          <w:iCs w:val="0"/>
          <w:color w:val="auto"/>
          <w:sz w:val="24"/>
          <w:szCs w:val="24"/>
          <w:lang w:eastAsia="pl-PL"/>
        </w:rPr>
        <w:t>ontroli</w:t>
      </w:r>
      <w:r w:rsidR="00B86BD2" w:rsidRPr="6975E986">
        <w:rPr>
          <w:i w:val="0"/>
          <w:iCs w:val="0"/>
          <w:color w:val="auto"/>
          <w:sz w:val="24"/>
          <w:szCs w:val="24"/>
          <w:lang w:eastAsia="pl-PL"/>
        </w:rPr>
        <w:t xml:space="preserve"> (patrz Załącznik CS0) oraz w normie </w:t>
      </w:r>
      <w:r w:rsidR="74725CF7" w:rsidRPr="6975E986">
        <w:rPr>
          <w:i w:val="0"/>
          <w:iCs w:val="0"/>
          <w:color w:val="auto"/>
          <w:sz w:val="24"/>
          <w:szCs w:val="24"/>
          <w:lang w:eastAsia="pl-PL"/>
        </w:rPr>
        <w:t>Standardy Systemów Motoryzacji</w:t>
      </w:r>
      <w:r w:rsidR="00B86BD2" w:rsidRPr="6975E986">
        <w:rPr>
          <w:i w:val="0"/>
          <w:iCs w:val="0"/>
          <w:color w:val="auto"/>
          <w:sz w:val="24"/>
          <w:szCs w:val="24"/>
          <w:lang w:eastAsia="pl-PL"/>
        </w:rPr>
        <w:t xml:space="preserve"> (patrz Załącznik CS1). Wbudowane parametry sterowania opisano w Tabeli 4. </w:t>
      </w:r>
    </w:p>
    <w:p w14:paraId="7F8B8C53" w14:textId="77777777" w:rsidR="00B86BD2" w:rsidRPr="00036097" w:rsidRDefault="00B86BD2" w:rsidP="00B86BD2">
      <w:pPr>
        <w:pStyle w:val="Legenda"/>
        <w:keepNext/>
        <w:spacing w:line="360" w:lineRule="auto"/>
      </w:pPr>
      <w:r w:rsidRPr="00036097">
        <w:t xml:space="preserve">Tabela </w:t>
      </w:r>
      <w:r>
        <w:fldChar w:fldCharType="begin"/>
      </w:r>
      <w:r w:rsidRPr="00036097">
        <w:instrText xml:space="preserve"> SEQ Table \* ARABIC </w:instrText>
      </w:r>
      <w:r>
        <w:fldChar w:fldCharType="separate"/>
      </w:r>
      <w:r w:rsidRPr="00036097">
        <w:rPr>
          <w:noProof/>
        </w:rPr>
        <w:t>4</w:t>
      </w:r>
      <w:r>
        <w:fldChar w:fldCharType="end"/>
      </w:r>
      <w:r w:rsidRPr="00036097">
        <w:t>. Wbudowane parametry sterowania.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301"/>
        <w:gridCol w:w="5164"/>
      </w:tblGrid>
      <w:tr w:rsidR="00B86BD2" w:rsidRPr="00036097" w14:paraId="50DDD9A3" w14:textId="77777777" w:rsidTr="00710492">
        <w:trPr>
          <w:jc w:val="center"/>
        </w:trPr>
        <w:tc>
          <w:tcPr>
            <w:tcW w:w="0" w:type="auto"/>
          </w:tcPr>
          <w:p w14:paraId="279355A6" w14:textId="77777777" w:rsidR="00B86BD2" w:rsidRDefault="00B86BD2" w:rsidP="00710492">
            <w:pPr>
              <w:rPr>
                <w:lang w:val="en-US" w:eastAsia="pl-PL"/>
              </w:rPr>
            </w:pPr>
            <w:proofErr w:type="spellStart"/>
            <w:r>
              <w:rPr>
                <w:lang w:val="en-US" w:eastAsia="pl-PL"/>
              </w:rPr>
              <w:t>Technologia</w:t>
            </w:r>
            <w:proofErr w:type="spellEnd"/>
          </w:p>
        </w:tc>
        <w:tc>
          <w:tcPr>
            <w:tcW w:w="0" w:type="auto"/>
          </w:tcPr>
          <w:p w14:paraId="5A4980C5" w14:textId="77777777" w:rsidR="00B86BD2" w:rsidRPr="00036097" w:rsidRDefault="00B86BD2" w:rsidP="00710492">
            <w:pPr>
              <w:rPr>
                <w:lang w:eastAsia="pl-PL"/>
              </w:rPr>
            </w:pPr>
            <w:proofErr w:type="spellStart"/>
            <w:r w:rsidRPr="00036097">
              <w:rPr>
                <w:lang w:eastAsia="pl-PL"/>
              </w:rPr>
              <w:t>PowerBrick</w:t>
            </w:r>
            <w:proofErr w:type="spellEnd"/>
            <w:r w:rsidRPr="00036097">
              <w:rPr>
                <w:lang w:eastAsia="pl-PL"/>
              </w:rPr>
              <w:t xml:space="preserve"> zawierający </w:t>
            </w:r>
            <w:proofErr w:type="spellStart"/>
            <w:r w:rsidRPr="00036097">
              <w:rPr>
                <w:lang w:eastAsia="pl-PL"/>
              </w:rPr>
              <w:t>wzmaczniacze</w:t>
            </w:r>
            <w:proofErr w:type="spellEnd"/>
            <w:r w:rsidRPr="00036097">
              <w:rPr>
                <w:lang w:eastAsia="pl-PL"/>
              </w:rPr>
              <w:t xml:space="preserve"> nowej</w:t>
            </w:r>
            <w:r>
              <w:rPr>
                <w:lang w:eastAsia="pl-PL"/>
              </w:rPr>
              <w:t xml:space="preserve"> </w:t>
            </w:r>
            <w:proofErr w:type="spellStart"/>
            <w:r>
              <w:rPr>
                <w:lang w:eastAsia="pl-PL"/>
              </w:rPr>
              <w:t>gnereacji</w:t>
            </w:r>
            <w:proofErr w:type="spellEnd"/>
          </w:p>
        </w:tc>
      </w:tr>
      <w:tr w:rsidR="00B86BD2" w14:paraId="45CFB905" w14:textId="77777777" w:rsidTr="00710492">
        <w:trPr>
          <w:jc w:val="center"/>
        </w:trPr>
        <w:tc>
          <w:tcPr>
            <w:tcW w:w="0" w:type="auto"/>
          </w:tcPr>
          <w:p w14:paraId="69F31469" w14:textId="77777777" w:rsidR="00B86BD2" w:rsidRDefault="00B86BD2" w:rsidP="00710492">
            <w:pPr>
              <w:rPr>
                <w:lang w:val="en-US" w:eastAsia="pl-PL"/>
              </w:rPr>
            </w:pPr>
            <w:r>
              <w:rPr>
                <w:lang w:val="en-US" w:eastAsia="pl-PL"/>
              </w:rPr>
              <w:t>CPU</w:t>
            </w:r>
          </w:p>
        </w:tc>
        <w:tc>
          <w:tcPr>
            <w:tcW w:w="0" w:type="auto"/>
          </w:tcPr>
          <w:p w14:paraId="2D62E3F3" w14:textId="77777777" w:rsidR="00B86BD2" w:rsidRDefault="00B86BD2" w:rsidP="00710492">
            <w:pPr>
              <w:rPr>
                <w:lang w:val="en-US" w:eastAsia="pl-PL"/>
              </w:rPr>
            </w:pPr>
            <w:r>
              <w:rPr>
                <w:lang w:val="en-US" w:eastAsia="pl-PL"/>
              </w:rPr>
              <w:t>1 GHz</w:t>
            </w:r>
          </w:p>
        </w:tc>
      </w:tr>
      <w:tr w:rsidR="00B86BD2" w14:paraId="42CC8D82" w14:textId="77777777" w:rsidTr="00710492">
        <w:trPr>
          <w:jc w:val="center"/>
        </w:trPr>
        <w:tc>
          <w:tcPr>
            <w:tcW w:w="0" w:type="auto"/>
          </w:tcPr>
          <w:p w14:paraId="4CF9C331" w14:textId="77777777" w:rsidR="00B86BD2" w:rsidRDefault="00B86BD2" w:rsidP="00710492">
            <w:pPr>
              <w:rPr>
                <w:lang w:val="en-US" w:eastAsia="pl-PL"/>
              </w:rPr>
            </w:pPr>
            <w:r>
              <w:rPr>
                <w:lang w:val="en-US" w:eastAsia="pl-PL"/>
              </w:rPr>
              <w:t>Ethernet</w:t>
            </w:r>
          </w:p>
        </w:tc>
        <w:tc>
          <w:tcPr>
            <w:tcW w:w="0" w:type="auto"/>
          </w:tcPr>
          <w:p w14:paraId="24C2087E" w14:textId="77777777" w:rsidR="00B86BD2" w:rsidRDefault="00B86BD2" w:rsidP="00710492">
            <w:pPr>
              <w:rPr>
                <w:lang w:val="en-US" w:eastAsia="pl-PL"/>
              </w:rPr>
            </w:pPr>
            <w:r>
              <w:rPr>
                <w:lang w:val="en-US" w:eastAsia="pl-PL"/>
              </w:rPr>
              <w:t>1 GB/s</w:t>
            </w:r>
          </w:p>
        </w:tc>
      </w:tr>
    </w:tbl>
    <w:p w14:paraId="63A73956" w14:textId="4AED7035" w:rsidR="00683A08" w:rsidRPr="00115775" w:rsidRDefault="00115775" w:rsidP="00BB5D36">
      <w:pPr>
        <w:pStyle w:val="Nagwek1"/>
      </w:pPr>
      <w:bookmarkStart w:id="28" w:name="_Toc195789588"/>
      <w:r>
        <w:t xml:space="preserve">3. </w:t>
      </w:r>
      <w:r w:rsidR="00B86BD2">
        <w:t>Dodatkowe warunki</w:t>
      </w:r>
      <w:bookmarkEnd w:id="28"/>
      <w:r w:rsidR="00B86BD2">
        <w:t xml:space="preserve"> </w:t>
      </w:r>
    </w:p>
    <w:p w14:paraId="3135C830" w14:textId="37EB468B" w:rsidR="00683A08" w:rsidRDefault="00B86BD2" w:rsidP="00683A08">
      <w:pPr>
        <w:pStyle w:val="Nagwek2"/>
        <w:numPr>
          <w:ilvl w:val="0"/>
          <w:numId w:val="14"/>
        </w:numPr>
        <w:rPr>
          <w:lang w:eastAsia="pl-PL"/>
        </w:rPr>
      </w:pPr>
      <w:bookmarkStart w:id="29" w:name="_Toc195789589"/>
      <w:r w:rsidRPr="6975E986">
        <w:rPr>
          <w:lang w:eastAsia="pl-PL"/>
        </w:rPr>
        <w:t>Projekt końcowy</w:t>
      </w:r>
      <w:bookmarkEnd w:id="29"/>
      <w:r w:rsidRPr="6975E986">
        <w:rPr>
          <w:lang w:eastAsia="pl-PL"/>
        </w:rPr>
        <w:t xml:space="preserve"> </w:t>
      </w:r>
      <w:r w:rsidR="3C20A62E" w:rsidRPr="6975E986">
        <w:rPr>
          <w:lang w:eastAsia="pl-PL"/>
        </w:rPr>
        <w:t>- dotyczy części 2</w:t>
      </w:r>
    </w:p>
    <w:p w14:paraId="20C51F96" w14:textId="6AA67581" w:rsidR="001F5613" w:rsidRDefault="001F5613" w:rsidP="001F5613">
      <w:pPr>
        <w:ind w:firstLine="708"/>
        <w:rPr>
          <w:rFonts w:cs="Times New Roman"/>
        </w:rPr>
      </w:pPr>
      <w:bookmarkStart w:id="30" w:name="_Toc194580283"/>
      <w:r w:rsidRPr="6975E986">
        <w:rPr>
          <w:rFonts w:cs="Times New Roman"/>
        </w:rPr>
        <w:t xml:space="preserve">Zamawiający </w:t>
      </w:r>
      <w:r w:rsidR="13D4358C" w:rsidRPr="6975E986">
        <w:rPr>
          <w:rFonts w:cs="Times New Roman"/>
        </w:rPr>
        <w:t>wymaga</w:t>
      </w:r>
      <w:r w:rsidRPr="6975E986">
        <w:rPr>
          <w:rFonts w:cs="Times New Roman"/>
        </w:rPr>
        <w:t xml:space="preserve">, że Wykonawca przedstawi wstępny raport projektowy (PDR), a następnie końcowy raport projektowy (FDR). , </w:t>
      </w:r>
      <w:r w:rsidR="00EF24D8">
        <w:rPr>
          <w:rFonts w:cs="Times New Roman"/>
        </w:rPr>
        <w:t xml:space="preserve">Zamawiający wymaga, </w:t>
      </w:r>
      <w:r w:rsidRPr="6975E986">
        <w:rPr>
          <w:rFonts w:cs="Times New Roman"/>
        </w:rPr>
        <w:t xml:space="preserve">że projekt końcowy zostanie zaprezentowany </w:t>
      </w:r>
      <w:r w:rsidR="00FD6B17">
        <w:rPr>
          <w:rFonts w:cs="Times New Roman"/>
        </w:rPr>
        <w:t xml:space="preserve">przez Wykonawcę </w:t>
      </w:r>
      <w:r w:rsidRPr="6975E986">
        <w:rPr>
          <w:rFonts w:cs="Times New Roman"/>
        </w:rPr>
        <w:t>nie później niż 8 tygodni od podpisania umowy.</w:t>
      </w:r>
    </w:p>
    <w:p w14:paraId="45597B3C" w14:textId="77777777" w:rsidR="001F5613" w:rsidRDefault="001F5613" w:rsidP="001F5613">
      <w:pPr>
        <w:rPr>
          <w:rFonts w:cs="Times New Roman"/>
        </w:rPr>
      </w:pPr>
      <w:r w:rsidRPr="00637D24">
        <w:rPr>
          <w:rFonts w:cs="Times New Roman"/>
        </w:rPr>
        <w:t>Projekt końcowy powinien zawierać co najmniej:</w:t>
      </w:r>
    </w:p>
    <w:p w14:paraId="14D97A0D" w14:textId="77777777" w:rsidR="001F5613" w:rsidRPr="00637D24" w:rsidRDefault="001F5613" w:rsidP="001F5613">
      <w:pPr>
        <w:numPr>
          <w:ilvl w:val="0"/>
          <w:numId w:val="9"/>
        </w:numPr>
      </w:pPr>
      <w:r w:rsidRPr="00637D24">
        <w:t>Rysunki 2D i 3D (STEP)</w:t>
      </w:r>
    </w:p>
    <w:p w14:paraId="762C029C" w14:textId="77777777" w:rsidR="001F5613" w:rsidRPr="00637D24" w:rsidRDefault="001F5613" w:rsidP="001F5613">
      <w:pPr>
        <w:numPr>
          <w:ilvl w:val="0"/>
          <w:numId w:val="9"/>
        </w:numPr>
        <w:rPr>
          <w:lang w:val="en-GB"/>
        </w:rPr>
      </w:pPr>
      <w:r w:rsidRPr="00637D24">
        <w:t>Listę wszystkich komponentów objętych dostawą</w:t>
      </w:r>
    </w:p>
    <w:p w14:paraId="116D1C3A" w14:textId="77777777" w:rsidR="001F5613" w:rsidRPr="00637D24" w:rsidRDefault="001F5613" w:rsidP="001F5613">
      <w:pPr>
        <w:numPr>
          <w:ilvl w:val="0"/>
          <w:numId w:val="9"/>
        </w:numPr>
      </w:pPr>
      <w:r w:rsidRPr="00637D24">
        <w:t xml:space="preserve">Typy silników z </w:t>
      </w:r>
      <w:proofErr w:type="spellStart"/>
      <w:r w:rsidRPr="00637D24">
        <w:t>enkoderami</w:t>
      </w:r>
      <w:proofErr w:type="spellEnd"/>
      <w:r w:rsidRPr="00637D24">
        <w:t xml:space="preserve"> oraz schemat połączeń</w:t>
      </w:r>
    </w:p>
    <w:p w14:paraId="21E092CC" w14:textId="77777777" w:rsidR="001F5613" w:rsidRPr="00637D24" w:rsidRDefault="001F5613" w:rsidP="001F5613">
      <w:pPr>
        <w:numPr>
          <w:ilvl w:val="0"/>
          <w:numId w:val="9"/>
        </w:numPr>
      </w:pPr>
      <w:r w:rsidRPr="00637D24">
        <w:t>Parametry ruchów silników (patrz Załącznik CS1)</w:t>
      </w:r>
    </w:p>
    <w:p w14:paraId="3F6C58A7" w14:textId="77777777" w:rsidR="001F5613" w:rsidRPr="00637D24" w:rsidRDefault="001F5613" w:rsidP="001F5613">
      <w:pPr>
        <w:numPr>
          <w:ilvl w:val="0"/>
          <w:numId w:val="9"/>
        </w:numPr>
      </w:pPr>
      <w:r w:rsidRPr="00637D24">
        <w:lastRenderedPageBreak/>
        <w:t>Opis procedury testowej (FAT i SAT)</w:t>
      </w:r>
    </w:p>
    <w:p w14:paraId="3A91CF84" w14:textId="77777777" w:rsidR="001F5613" w:rsidRPr="00637D24" w:rsidRDefault="001F5613" w:rsidP="001F5613">
      <w:pPr>
        <w:numPr>
          <w:ilvl w:val="0"/>
          <w:numId w:val="9"/>
        </w:numPr>
      </w:pPr>
      <w:r w:rsidRPr="00637D24">
        <w:t xml:space="preserve">Instrukcje dotyczące transportu i rozpakowywania </w:t>
      </w:r>
    </w:p>
    <w:p w14:paraId="43D251C5" w14:textId="14B5F75E" w:rsidR="001F5613" w:rsidRPr="001F5613" w:rsidRDefault="001F5613" w:rsidP="001F5613">
      <w:pPr>
        <w:numPr>
          <w:ilvl w:val="0"/>
          <w:numId w:val="9"/>
        </w:numPr>
      </w:pPr>
      <w:r w:rsidRPr="00637D24">
        <w:t>Instrukcje dotyczące ręcznego przemieszczania oraz transportu</w:t>
      </w:r>
    </w:p>
    <w:p w14:paraId="56A3C298" w14:textId="067DAF1F" w:rsidR="00683A08" w:rsidRPr="00FA1422" w:rsidRDefault="00FA1422" w:rsidP="00683A08">
      <w:pPr>
        <w:pStyle w:val="Nagwek2"/>
        <w:numPr>
          <w:ilvl w:val="0"/>
          <w:numId w:val="14"/>
        </w:numPr>
        <w:rPr>
          <w:lang w:eastAsia="pl-PL"/>
        </w:rPr>
      </w:pPr>
      <w:bookmarkStart w:id="31" w:name="_Toc195789590"/>
      <w:bookmarkEnd w:id="30"/>
      <w:r w:rsidRPr="00FA1422">
        <w:rPr>
          <w:lang w:eastAsia="pl-PL"/>
        </w:rPr>
        <w:t>Dostawa, instalacja i testy o</w:t>
      </w:r>
      <w:r>
        <w:rPr>
          <w:lang w:eastAsia="pl-PL"/>
        </w:rPr>
        <w:t>dbiorcze na miejscu.</w:t>
      </w:r>
      <w:bookmarkEnd w:id="31"/>
      <w:r>
        <w:rPr>
          <w:lang w:eastAsia="pl-PL"/>
        </w:rPr>
        <w:t xml:space="preserve"> </w:t>
      </w:r>
    </w:p>
    <w:p w14:paraId="697C995C" w14:textId="1C4876AD" w:rsidR="00146072" w:rsidRDefault="001D45AD" w:rsidP="0C389D1C">
      <w:pPr>
        <w:ind w:firstLine="708"/>
        <w:rPr>
          <w:rFonts w:cs="Times New Roman"/>
        </w:rPr>
      </w:pPr>
      <w:r>
        <w:t xml:space="preserve">Dostawa Przedmiotu Zamówienia określonego dla części </w:t>
      </w:r>
      <w:r w:rsidR="486B9A2B">
        <w:t>2</w:t>
      </w:r>
      <w:r>
        <w:t xml:space="preserve"> odbędzie się zgodnie z załączonym wzorem umowy.</w:t>
      </w:r>
      <w:bookmarkStart w:id="32" w:name="_Toc194580284"/>
      <w:r w:rsidR="00146072" w:rsidRPr="6975E986">
        <w:rPr>
          <w:rFonts w:cs="Times New Roman"/>
        </w:rPr>
        <w:t xml:space="preserve"> W celu instalacji i testów na miejscu wymagana jest obecność dwóch </w:t>
      </w:r>
      <w:r w:rsidR="00FC7122">
        <w:rPr>
          <w:rFonts w:cs="Times New Roman"/>
        </w:rPr>
        <w:t xml:space="preserve">odpowiednio </w:t>
      </w:r>
      <w:r w:rsidR="00146072" w:rsidRPr="6975E986">
        <w:rPr>
          <w:rFonts w:cs="Times New Roman"/>
        </w:rPr>
        <w:t xml:space="preserve">wykwalifikowanych </w:t>
      </w:r>
      <w:r w:rsidR="00FC7122">
        <w:rPr>
          <w:rFonts w:cs="Times New Roman"/>
        </w:rPr>
        <w:t>osób</w:t>
      </w:r>
      <w:r w:rsidR="00FC7122" w:rsidRPr="6975E986">
        <w:rPr>
          <w:rFonts w:cs="Times New Roman"/>
        </w:rPr>
        <w:t xml:space="preserve"> </w:t>
      </w:r>
      <w:r w:rsidR="00146072" w:rsidRPr="6975E986">
        <w:rPr>
          <w:rFonts w:cs="Times New Roman"/>
        </w:rPr>
        <w:t>przez okres 2 tygodni (10 dni roboczych).</w:t>
      </w:r>
      <w:r w:rsidR="34CBF0A4" w:rsidRPr="6975E986">
        <w:rPr>
          <w:rFonts w:cs="Times New Roman"/>
        </w:rPr>
        <w:t xml:space="preserve"> Dyfraktometr będzie zainstalowany na dedykowanym stole podtrzymującym dyfraktometr, który jest przedmiotem innego przetargu. Szczegóły dotyczące stołu zostaną przekazane </w:t>
      </w:r>
      <w:r w:rsidR="6010A09A" w:rsidRPr="6975E986">
        <w:rPr>
          <w:rFonts w:cs="Times New Roman"/>
        </w:rPr>
        <w:t xml:space="preserve">Wykonawcy po rozstrzygnięciu przetargu na stoły eksperymentalne. </w:t>
      </w:r>
      <w:r w:rsidR="34CBF0A4" w:rsidRPr="6975E986">
        <w:rPr>
          <w:rFonts w:cs="Times New Roman"/>
        </w:rPr>
        <w:t xml:space="preserve"> </w:t>
      </w:r>
    </w:p>
    <w:p w14:paraId="7509451B" w14:textId="6778C899" w:rsidR="00146072" w:rsidRPr="00146072" w:rsidRDefault="00146072" w:rsidP="00146072">
      <w:pPr>
        <w:spacing w:line="278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6D9C8A22" w14:textId="6A7D7972" w:rsidR="00683A08" w:rsidRPr="00BB5D36" w:rsidRDefault="00146072" w:rsidP="00BB5D36">
      <w:pPr>
        <w:pStyle w:val="Nagwek1"/>
      </w:pPr>
      <w:bookmarkStart w:id="33" w:name="_Toc195789591"/>
      <w:bookmarkEnd w:id="32"/>
      <w:r w:rsidRPr="00BB5D36">
        <w:lastRenderedPageBreak/>
        <w:t>Załączniki</w:t>
      </w:r>
      <w:bookmarkEnd w:id="33"/>
      <w:r w:rsidRPr="00BB5D36">
        <w:t xml:space="preserve"> </w:t>
      </w:r>
    </w:p>
    <w:p w14:paraId="2FC9B4F9" w14:textId="77777777" w:rsidR="00C64361" w:rsidRDefault="00C64361" w:rsidP="00C64361">
      <w:pPr>
        <w:ind w:firstLine="360"/>
        <w:rPr>
          <w:rFonts w:eastAsia="Times New Roman" w:cs="Times New Roman"/>
          <w:lang w:val="en-GB"/>
        </w:rPr>
      </w:pPr>
      <w:r w:rsidRPr="00036097">
        <w:rPr>
          <w:rFonts w:eastAsia="Times New Roman" w:cs="Times New Roman"/>
        </w:rPr>
        <w:t>Dokumenty referencyjne zostały uzupełnione o następujące załączniki. Załączniki zawierają opisy technologiczne stosowane w SOLARIS, których Wykonawca powinien przestrzegać i się do nich stosować. Załączniki stanowią integralną część Specyfikacji Istotnych Warunków Zamówienia.</w:t>
      </w:r>
    </w:p>
    <w:p w14:paraId="367CBD70" w14:textId="77777777" w:rsidR="00683A08" w:rsidRPr="00626BA3" w:rsidRDefault="00683A08" w:rsidP="00683A08">
      <w:pPr>
        <w:rPr>
          <w:rFonts w:cs="Times New Roman"/>
          <w:lang w:val="en-GB"/>
        </w:rPr>
      </w:pPr>
    </w:p>
    <w:p w14:paraId="1541A4FE" w14:textId="77777777" w:rsidR="00BB5D36" w:rsidRPr="00036097" w:rsidRDefault="00BB5D36" w:rsidP="00BB5D36">
      <w:pPr>
        <w:numPr>
          <w:ilvl w:val="0"/>
          <w:numId w:val="10"/>
        </w:numPr>
        <w:contextualSpacing/>
        <w:rPr>
          <w:rFonts w:cs="Times New Roman"/>
        </w:rPr>
      </w:pPr>
      <w:r w:rsidRPr="00036097">
        <w:rPr>
          <w:rFonts w:cs="Times New Roman"/>
        </w:rPr>
        <w:t xml:space="preserve">Załącznik ALIGN - wytyczne z zakresu pozycjonowana </w:t>
      </w:r>
    </w:p>
    <w:p w14:paraId="12635A13" w14:textId="77777777" w:rsidR="00BB5D36" w:rsidRPr="00036097" w:rsidRDefault="00BB5D36" w:rsidP="00BB5D36">
      <w:pPr>
        <w:numPr>
          <w:ilvl w:val="0"/>
          <w:numId w:val="10"/>
        </w:numPr>
        <w:contextualSpacing/>
        <w:rPr>
          <w:rFonts w:cs="Times New Roman"/>
        </w:rPr>
      </w:pPr>
      <w:r w:rsidRPr="00036097">
        <w:rPr>
          <w:rFonts w:cs="Times New Roman"/>
        </w:rPr>
        <w:t xml:space="preserve">Załącznik CS0 - Standardy SOLARIS dla Systemu Kontroli </w:t>
      </w:r>
    </w:p>
    <w:p w14:paraId="08834E6B" w14:textId="77777777" w:rsidR="00BB5D36" w:rsidRDefault="00BB5D36" w:rsidP="00BB5D36">
      <w:pPr>
        <w:numPr>
          <w:ilvl w:val="0"/>
          <w:numId w:val="10"/>
        </w:numPr>
        <w:contextualSpacing/>
        <w:rPr>
          <w:rFonts w:cs="Times New Roman"/>
        </w:rPr>
      </w:pPr>
      <w:r w:rsidRPr="00036097">
        <w:rPr>
          <w:rFonts w:cs="Times New Roman"/>
        </w:rPr>
        <w:t xml:space="preserve">Załącznik CS1 - Standardy systemów motoryzacji </w:t>
      </w:r>
    </w:p>
    <w:p w14:paraId="699072EE" w14:textId="1F80A12D" w:rsidR="00F01BBE" w:rsidRDefault="00F01BBE" w:rsidP="00BB5D36">
      <w:pPr>
        <w:numPr>
          <w:ilvl w:val="0"/>
          <w:numId w:val="10"/>
        </w:numPr>
        <w:contextualSpacing/>
        <w:rPr>
          <w:rFonts w:cs="Times New Roman"/>
        </w:rPr>
      </w:pPr>
      <w:r>
        <w:rPr>
          <w:rFonts w:cs="Times New Roman"/>
        </w:rPr>
        <w:t xml:space="preserve">Załącznik CS2 - </w:t>
      </w:r>
      <w:r w:rsidRPr="00F01BBE">
        <w:rPr>
          <w:rFonts w:cs="Times New Roman"/>
        </w:rPr>
        <w:t>Szczegółowy podział odpowiedzialności w zadaniach Systemu Sterowania</w:t>
      </w:r>
    </w:p>
    <w:p w14:paraId="2A44B3A1" w14:textId="75906F24" w:rsidR="00F01BBE" w:rsidRPr="00036097" w:rsidRDefault="00F01BBE" w:rsidP="00BB5D36">
      <w:pPr>
        <w:numPr>
          <w:ilvl w:val="0"/>
          <w:numId w:val="10"/>
        </w:numPr>
        <w:contextualSpacing/>
        <w:rPr>
          <w:rFonts w:cs="Times New Roman"/>
        </w:rPr>
      </w:pPr>
      <w:r>
        <w:rPr>
          <w:rFonts w:cs="Times New Roman"/>
        </w:rPr>
        <w:t>Załącznik CS3 – Standardowe elementy</w:t>
      </w:r>
    </w:p>
    <w:p w14:paraId="3064053C" w14:textId="77777777" w:rsidR="00BB5D36" w:rsidRPr="00780D70" w:rsidRDefault="00BB5D36" w:rsidP="00BB5D36">
      <w:pPr>
        <w:numPr>
          <w:ilvl w:val="0"/>
          <w:numId w:val="10"/>
        </w:numPr>
        <w:contextualSpacing/>
        <w:rPr>
          <w:rFonts w:cs="Times New Roman"/>
          <w:lang w:val="en-US"/>
        </w:rPr>
      </w:pPr>
      <w:proofErr w:type="spellStart"/>
      <w:r>
        <w:rPr>
          <w:rFonts w:cs="Times New Roman"/>
          <w:lang w:val="en-US"/>
        </w:rPr>
        <w:t>Załącznik</w:t>
      </w:r>
      <w:proofErr w:type="spellEnd"/>
      <w:r w:rsidRPr="00626BA3">
        <w:rPr>
          <w:rFonts w:cs="Times New Roman"/>
          <w:lang w:val="en-US"/>
        </w:rPr>
        <w:t xml:space="preserve"> MECH1 – </w:t>
      </w:r>
      <w:proofErr w:type="spellStart"/>
      <w:r w:rsidRPr="00626BA3">
        <w:rPr>
          <w:rFonts w:cs="Times New Roman"/>
          <w:lang w:val="en-US"/>
        </w:rPr>
        <w:t>Mechani</w:t>
      </w:r>
      <w:r>
        <w:rPr>
          <w:rFonts w:cs="Times New Roman"/>
          <w:lang w:val="en-US"/>
        </w:rPr>
        <w:t>ka</w:t>
      </w:r>
      <w:proofErr w:type="spellEnd"/>
    </w:p>
    <w:p w14:paraId="0829A8A4" w14:textId="77777777" w:rsidR="00BB5D36" w:rsidRPr="00036097" w:rsidRDefault="00BB5D36" w:rsidP="00BB5D36">
      <w:pPr>
        <w:numPr>
          <w:ilvl w:val="0"/>
          <w:numId w:val="10"/>
        </w:numPr>
        <w:contextualSpacing/>
        <w:rPr>
          <w:rFonts w:cs="Times New Roman"/>
        </w:rPr>
      </w:pPr>
      <w:r w:rsidRPr="00036097">
        <w:rPr>
          <w:rFonts w:cs="Times New Roman"/>
        </w:rPr>
        <w:t xml:space="preserve">Załącznik MECH3 - Opis obszaru ID03 linii badawczej </w:t>
      </w:r>
    </w:p>
    <w:p w14:paraId="413746E3" w14:textId="77777777" w:rsidR="00BB5D36" w:rsidRPr="00036097" w:rsidRDefault="00BB5D36" w:rsidP="00BB5D36">
      <w:pPr>
        <w:numPr>
          <w:ilvl w:val="0"/>
          <w:numId w:val="10"/>
        </w:numPr>
        <w:contextualSpacing/>
        <w:rPr>
          <w:rFonts w:cs="Times New Roman"/>
          <w:lang w:val="en-US"/>
        </w:rPr>
      </w:pPr>
      <w:proofErr w:type="spellStart"/>
      <w:r w:rsidRPr="00036097">
        <w:rPr>
          <w:rFonts w:cs="Times New Roman"/>
          <w:lang w:val="en-US"/>
        </w:rPr>
        <w:t>Załącznik</w:t>
      </w:r>
      <w:proofErr w:type="spellEnd"/>
      <w:r w:rsidRPr="00036097">
        <w:rPr>
          <w:rFonts w:cs="Times New Roman"/>
          <w:lang w:val="en-US"/>
        </w:rPr>
        <w:t xml:space="preserve"> MECH4 - Dimensions of the ID03 Beamline area </w:t>
      </w:r>
    </w:p>
    <w:p w14:paraId="00A74BDC" w14:textId="77777777" w:rsidR="00BB5D36" w:rsidRPr="00036097" w:rsidRDefault="00BB5D36" w:rsidP="00BB5D36">
      <w:pPr>
        <w:numPr>
          <w:ilvl w:val="0"/>
          <w:numId w:val="10"/>
        </w:numPr>
        <w:contextualSpacing/>
        <w:rPr>
          <w:rFonts w:cs="Times New Roman"/>
        </w:rPr>
      </w:pPr>
      <w:r w:rsidRPr="00036097">
        <w:rPr>
          <w:rFonts w:cs="Times New Roman"/>
        </w:rPr>
        <w:t>Załącznik SOURCE - parametry źródła promieniowania synchrotronowego</w:t>
      </w:r>
    </w:p>
    <w:p w14:paraId="2D15DEC9" w14:textId="77777777" w:rsidR="00BB5D36" w:rsidRPr="00036097" w:rsidRDefault="00BB5D36" w:rsidP="00BB5D36">
      <w:pPr>
        <w:numPr>
          <w:ilvl w:val="0"/>
          <w:numId w:val="10"/>
        </w:numPr>
        <w:contextualSpacing/>
        <w:rPr>
          <w:rFonts w:cs="Times New Roman"/>
        </w:rPr>
      </w:pPr>
      <w:r w:rsidRPr="00036097">
        <w:rPr>
          <w:rFonts w:cs="Times New Roman"/>
        </w:rPr>
        <w:t xml:space="preserve">Załącznik SOURCE-ID03 - parametry </w:t>
      </w:r>
      <w:proofErr w:type="spellStart"/>
      <w:r w:rsidRPr="00036097">
        <w:rPr>
          <w:rFonts w:cs="Times New Roman"/>
        </w:rPr>
        <w:t>wigglera</w:t>
      </w:r>
      <w:proofErr w:type="spellEnd"/>
      <w:r w:rsidRPr="00036097">
        <w:rPr>
          <w:rFonts w:cs="Times New Roman"/>
        </w:rPr>
        <w:t xml:space="preserve"> 3-polowego</w:t>
      </w:r>
    </w:p>
    <w:p w14:paraId="3B1090C6" w14:textId="77777777" w:rsidR="00BB5D36" w:rsidRPr="00036097" w:rsidRDefault="00BB5D36" w:rsidP="00BB5D36">
      <w:pPr>
        <w:numPr>
          <w:ilvl w:val="0"/>
          <w:numId w:val="10"/>
        </w:numPr>
        <w:contextualSpacing/>
        <w:rPr>
          <w:rFonts w:cs="Times New Roman"/>
        </w:rPr>
      </w:pPr>
      <w:proofErr w:type="spellStart"/>
      <w:r>
        <w:rPr>
          <w:rFonts w:cs="Times New Roman"/>
        </w:rPr>
        <w:t>Z</w:t>
      </w:r>
      <w:r w:rsidRPr="00036097">
        <w:rPr>
          <w:rFonts w:cs="Times New Roman"/>
        </w:rPr>
        <w:t>alacznik</w:t>
      </w:r>
      <w:proofErr w:type="spellEnd"/>
      <w:r w:rsidRPr="00036097">
        <w:rPr>
          <w:rFonts w:cs="Times New Roman"/>
        </w:rPr>
        <w:t xml:space="preserve"> WAT-CA1 Standardy sprężonego powietrza_2.3</w:t>
      </w:r>
    </w:p>
    <w:p w14:paraId="058ED36A" w14:textId="77777777" w:rsidR="00BB5D36" w:rsidRPr="00036097" w:rsidRDefault="00BB5D36" w:rsidP="00BB5D36">
      <w:pPr>
        <w:numPr>
          <w:ilvl w:val="0"/>
          <w:numId w:val="10"/>
        </w:numPr>
        <w:contextualSpacing/>
        <w:rPr>
          <w:rFonts w:cs="Times New Roman"/>
        </w:rPr>
      </w:pPr>
      <w:proofErr w:type="spellStart"/>
      <w:r w:rsidRPr="00036097">
        <w:rPr>
          <w:rFonts w:cs="Times New Roman"/>
        </w:rPr>
        <w:t>Zalacznik</w:t>
      </w:r>
      <w:proofErr w:type="spellEnd"/>
      <w:r w:rsidRPr="00036097">
        <w:rPr>
          <w:rFonts w:cs="Times New Roman"/>
        </w:rPr>
        <w:t xml:space="preserve"> WAT-CW1 Standardy wody chłodzącej_2.3</w:t>
      </w:r>
    </w:p>
    <w:p w14:paraId="421B0A6F" w14:textId="77777777" w:rsidR="00683A08" w:rsidRPr="00BB5D36" w:rsidRDefault="00683A08" w:rsidP="00683A08"/>
    <w:p w14:paraId="1F4674C4" w14:textId="77777777" w:rsidR="009D580E" w:rsidRPr="00BB5D36" w:rsidRDefault="009D580E"/>
    <w:sectPr w:rsidR="009D580E" w:rsidRPr="00BB5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41874"/>
    <w:multiLevelType w:val="hybridMultilevel"/>
    <w:tmpl w:val="41EC491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99708E2"/>
    <w:multiLevelType w:val="hybridMultilevel"/>
    <w:tmpl w:val="C7D274C6"/>
    <w:lvl w:ilvl="0" w:tplc="451813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8BBAD16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bCs w:val="0"/>
        <w:sz w:val="28"/>
        <w:szCs w:val="36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E6F6B"/>
    <w:multiLevelType w:val="multilevel"/>
    <w:tmpl w:val="4FFE1D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5C72CAC"/>
    <w:multiLevelType w:val="hybridMultilevel"/>
    <w:tmpl w:val="C3DA29AA"/>
    <w:lvl w:ilvl="0" w:tplc="43905F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3582C"/>
    <w:multiLevelType w:val="hybridMultilevel"/>
    <w:tmpl w:val="B75A7B0C"/>
    <w:lvl w:ilvl="0" w:tplc="80D8720E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ED35BE5"/>
    <w:multiLevelType w:val="hybridMultilevel"/>
    <w:tmpl w:val="18BC505E"/>
    <w:lvl w:ilvl="0" w:tplc="80D8720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918AC"/>
    <w:multiLevelType w:val="hybridMultilevel"/>
    <w:tmpl w:val="660EA8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A07DF"/>
    <w:multiLevelType w:val="hybridMultilevel"/>
    <w:tmpl w:val="5678D1B6"/>
    <w:lvl w:ilvl="0" w:tplc="8BBAD168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bCs w:val="0"/>
        <w:sz w:val="28"/>
        <w:szCs w:val="3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4A2165"/>
    <w:multiLevelType w:val="hybridMultilevel"/>
    <w:tmpl w:val="6FAED2FE"/>
    <w:lvl w:ilvl="0" w:tplc="6C7A14BA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885D43"/>
    <w:multiLevelType w:val="multilevel"/>
    <w:tmpl w:val="1AD0E44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604624CE"/>
    <w:multiLevelType w:val="hybridMultilevel"/>
    <w:tmpl w:val="4F22535C"/>
    <w:lvl w:ilvl="0" w:tplc="1272E04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E4179"/>
    <w:multiLevelType w:val="hybridMultilevel"/>
    <w:tmpl w:val="7B226972"/>
    <w:lvl w:ilvl="0" w:tplc="0C2C6E3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D2425"/>
    <w:multiLevelType w:val="hybridMultilevel"/>
    <w:tmpl w:val="9A5096BC"/>
    <w:lvl w:ilvl="0" w:tplc="8C70270A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10811">
    <w:abstractNumId w:val="2"/>
  </w:num>
  <w:num w:numId="2" w16cid:durableId="2117091351">
    <w:abstractNumId w:val="0"/>
  </w:num>
  <w:num w:numId="3" w16cid:durableId="662973767">
    <w:abstractNumId w:val="5"/>
  </w:num>
  <w:num w:numId="4" w16cid:durableId="1930044852">
    <w:abstractNumId w:val="4"/>
  </w:num>
  <w:num w:numId="5" w16cid:durableId="167448454">
    <w:abstractNumId w:val="1"/>
  </w:num>
  <w:num w:numId="6" w16cid:durableId="576014015">
    <w:abstractNumId w:val="7"/>
  </w:num>
  <w:num w:numId="7" w16cid:durableId="1675109242">
    <w:abstractNumId w:val="9"/>
  </w:num>
  <w:num w:numId="8" w16cid:durableId="140584835">
    <w:abstractNumId w:val="10"/>
  </w:num>
  <w:num w:numId="9" w16cid:durableId="1793786710">
    <w:abstractNumId w:val="8"/>
  </w:num>
  <w:num w:numId="10" w16cid:durableId="20726577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12597104">
    <w:abstractNumId w:val="6"/>
  </w:num>
  <w:num w:numId="12" w16cid:durableId="1607730600">
    <w:abstractNumId w:val="1"/>
    <w:lvlOverride w:ilvl="0">
      <w:startOverride w:val="1"/>
    </w:lvlOverride>
  </w:num>
  <w:num w:numId="13" w16cid:durableId="1214806970">
    <w:abstractNumId w:val="12"/>
  </w:num>
  <w:num w:numId="14" w16cid:durableId="644236578">
    <w:abstractNumId w:val="11"/>
  </w:num>
  <w:num w:numId="15" w16cid:durableId="915674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B36"/>
    <w:rsid w:val="00025CEC"/>
    <w:rsid w:val="0004222A"/>
    <w:rsid w:val="00061743"/>
    <w:rsid w:val="000A037F"/>
    <w:rsid w:val="000A06BA"/>
    <w:rsid w:val="000C699F"/>
    <w:rsid w:val="000E035F"/>
    <w:rsid w:val="00107BCA"/>
    <w:rsid w:val="00115775"/>
    <w:rsid w:val="00146072"/>
    <w:rsid w:val="001D45AD"/>
    <w:rsid w:val="001E62A8"/>
    <w:rsid w:val="001E7EAE"/>
    <w:rsid w:val="001F5613"/>
    <w:rsid w:val="00206F69"/>
    <w:rsid w:val="00211C7E"/>
    <w:rsid w:val="00213CAF"/>
    <w:rsid w:val="00214405"/>
    <w:rsid w:val="002676A6"/>
    <w:rsid w:val="00287473"/>
    <w:rsid w:val="002B039C"/>
    <w:rsid w:val="002D6F3C"/>
    <w:rsid w:val="002F1E26"/>
    <w:rsid w:val="002F7789"/>
    <w:rsid w:val="003207C5"/>
    <w:rsid w:val="003364D8"/>
    <w:rsid w:val="00364B53"/>
    <w:rsid w:val="00366595"/>
    <w:rsid w:val="00391199"/>
    <w:rsid w:val="003A13C5"/>
    <w:rsid w:val="003C0605"/>
    <w:rsid w:val="003C2A16"/>
    <w:rsid w:val="0040132B"/>
    <w:rsid w:val="00417C19"/>
    <w:rsid w:val="00425C93"/>
    <w:rsid w:val="004266C5"/>
    <w:rsid w:val="004456CD"/>
    <w:rsid w:val="004B2208"/>
    <w:rsid w:val="005A7421"/>
    <w:rsid w:val="006151E9"/>
    <w:rsid w:val="00683A08"/>
    <w:rsid w:val="006B57D7"/>
    <w:rsid w:val="006F647D"/>
    <w:rsid w:val="006F6978"/>
    <w:rsid w:val="00710492"/>
    <w:rsid w:val="00752D69"/>
    <w:rsid w:val="0079128D"/>
    <w:rsid w:val="007B166B"/>
    <w:rsid w:val="007D1786"/>
    <w:rsid w:val="00824DE2"/>
    <w:rsid w:val="008251DE"/>
    <w:rsid w:val="00881530"/>
    <w:rsid w:val="008A1C27"/>
    <w:rsid w:val="008C32DD"/>
    <w:rsid w:val="008E6966"/>
    <w:rsid w:val="00920373"/>
    <w:rsid w:val="00981871"/>
    <w:rsid w:val="009D580E"/>
    <w:rsid w:val="00A23E91"/>
    <w:rsid w:val="00A4334F"/>
    <w:rsid w:val="00A442C6"/>
    <w:rsid w:val="00A57376"/>
    <w:rsid w:val="00A857E2"/>
    <w:rsid w:val="00AA3D06"/>
    <w:rsid w:val="00B01E5D"/>
    <w:rsid w:val="00B60B36"/>
    <w:rsid w:val="00B7228C"/>
    <w:rsid w:val="00B72B43"/>
    <w:rsid w:val="00B86BD2"/>
    <w:rsid w:val="00BA7E41"/>
    <w:rsid w:val="00BB5D36"/>
    <w:rsid w:val="00BC3102"/>
    <w:rsid w:val="00BE119A"/>
    <w:rsid w:val="00BE6189"/>
    <w:rsid w:val="00C25B3F"/>
    <w:rsid w:val="00C50A74"/>
    <w:rsid w:val="00C51A2E"/>
    <w:rsid w:val="00C54A99"/>
    <w:rsid w:val="00C64361"/>
    <w:rsid w:val="00C77535"/>
    <w:rsid w:val="00C93019"/>
    <w:rsid w:val="00CA1B43"/>
    <w:rsid w:val="00CF22AA"/>
    <w:rsid w:val="00CF5F12"/>
    <w:rsid w:val="00D71442"/>
    <w:rsid w:val="00DA0509"/>
    <w:rsid w:val="00DC75CB"/>
    <w:rsid w:val="00E66840"/>
    <w:rsid w:val="00EF24D8"/>
    <w:rsid w:val="00F01BBE"/>
    <w:rsid w:val="00F5390F"/>
    <w:rsid w:val="00F6661D"/>
    <w:rsid w:val="00F67E82"/>
    <w:rsid w:val="00F77C71"/>
    <w:rsid w:val="00FA1422"/>
    <w:rsid w:val="00FA70A2"/>
    <w:rsid w:val="00FC0C4C"/>
    <w:rsid w:val="00FC7122"/>
    <w:rsid w:val="00FD6B17"/>
    <w:rsid w:val="0138E9B2"/>
    <w:rsid w:val="01588645"/>
    <w:rsid w:val="01695928"/>
    <w:rsid w:val="04036C18"/>
    <w:rsid w:val="04985B3B"/>
    <w:rsid w:val="0622B092"/>
    <w:rsid w:val="074D33C2"/>
    <w:rsid w:val="07619163"/>
    <w:rsid w:val="0B52BC46"/>
    <w:rsid w:val="0B5D20E1"/>
    <w:rsid w:val="0C389D1C"/>
    <w:rsid w:val="0E162ADB"/>
    <w:rsid w:val="0EB245A2"/>
    <w:rsid w:val="0F173C2B"/>
    <w:rsid w:val="0F6902BD"/>
    <w:rsid w:val="0F6F659F"/>
    <w:rsid w:val="0FCF19C9"/>
    <w:rsid w:val="1071D3C8"/>
    <w:rsid w:val="1150571E"/>
    <w:rsid w:val="11BECAF5"/>
    <w:rsid w:val="12106791"/>
    <w:rsid w:val="1253DC7C"/>
    <w:rsid w:val="135155AD"/>
    <w:rsid w:val="13D4358C"/>
    <w:rsid w:val="1440CFF0"/>
    <w:rsid w:val="1A53D3B2"/>
    <w:rsid w:val="1A633C07"/>
    <w:rsid w:val="1B4ED920"/>
    <w:rsid w:val="1E5933E9"/>
    <w:rsid w:val="20B6BA6B"/>
    <w:rsid w:val="218D7CB2"/>
    <w:rsid w:val="235FBE54"/>
    <w:rsid w:val="27CBD370"/>
    <w:rsid w:val="2998CD94"/>
    <w:rsid w:val="2BA8A26B"/>
    <w:rsid w:val="2BBB925D"/>
    <w:rsid w:val="2F0627D0"/>
    <w:rsid w:val="2F49C330"/>
    <w:rsid w:val="30A8BEBB"/>
    <w:rsid w:val="333104EE"/>
    <w:rsid w:val="34712A12"/>
    <w:rsid w:val="34CBF0A4"/>
    <w:rsid w:val="36527B5C"/>
    <w:rsid w:val="390861B7"/>
    <w:rsid w:val="391C6661"/>
    <w:rsid w:val="3BC5CBFB"/>
    <w:rsid w:val="3BCCF35F"/>
    <w:rsid w:val="3C20A62E"/>
    <w:rsid w:val="3D15D379"/>
    <w:rsid w:val="3DCE47F5"/>
    <w:rsid w:val="3EC7D83E"/>
    <w:rsid w:val="3F0382BF"/>
    <w:rsid w:val="41850EAF"/>
    <w:rsid w:val="4335C5DB"/>
    <w:rsid w:val="43BF5B4A"/>
    <w:rsid w:val="4692EC1C"/>
    <w:rsid w:val="47634794"/>
    <w:rsid w:val="47C497E9"/>
    <w:rsid w:val="486B9A2B"/>
    <w:rsid w:val="4A2ECF65"/>
    <w:rsid w:val="4A6C98B6"/>
    <w:rsid w:val="4B8D2A0C"/>
    <w:rsid w:val="4CA05F95"/>
    <w:rsid w:val="4E5CD361"/>
    <w:rsid w:val="4FA709C5"/>
    <w:rsid w:val="50739A27"/>
    <w:rsid w:val="5299DE76"/>
    <w:rsid w:val="541B41BA"/>
    <w:rsid w:val="546B81E4"/>
    <w:rsid w:val="54E6DA5C"/>
    <w:rsid w:val="565E3041"/>
    <w:rsid w:val="56BD5F92"/>
    <w:rsid w:val="56F1EC06"/>
    <w:rsid w:val="6010A09A"/>
    <w:rsid w:val="618EC75A"/>
    <w:rsid w:val="61BAF305"/>
    <w:rsid w:val="651B6202"/>
    <w:rsid w:val="65F086D4"/>
    <w:rsid w:val="6651A280"/>
    <w:rsid w:val="670999FD"/>
    <w:rsid w:val="6975E986"/>
    <w:rsid w:val="6B78E39A"/>
    <w:rsid w:val="6DA95F5D"/>
    <w:rsid w:val="6E68E08D"/>
    <w:rsid w:val="6F7AE1DA"/>
    <w:rsid w:val="70D38B96"/>
    <w:rsid w:val="70EEB42E"/>
    <w:rsid w:val="721B0A95"/>
    <w:rsid w:val="74725CF7"/>
    <w:rsid w:val="769C927A"/>
    <w:rsid w:val="77E699D4"/>
    <w:rsid w:val="7884FE48"/>
    <w:rsid w:val="78D3A59D"/>
    <w:rsid w:val="793CC7E2"/>
    <w:rsid w:val="79DEED9D"/>
    <w:rsid w:val="7B2E7C55"/>
    <w:rsid w:val="7E7ECE4F"/>
    <w:rsid w:val="7F463DEB"/>
    <w:rsid w:val="7FD89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FCAFB"/>
  <w15:chartTrackingRefBased/>
  <w15:docId w15:val="{BA351AF5-9EB3-46F6-9C14-4B4E4D0D6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789"/>
    <w:pPr>
      <w:spacing w:line="360" w:lineRule="auto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B5D36"/>
    <w:pPr>
      <w:keepNext/>
      <w:keepLines/>
      <w:spacing w:before="360" w:after="80"/>
      <w:outlineLvl w:val="0"/>
    </w:pPr>
    <w:rPr>
      <w:rFonts w:eastAsiaTheme="majorEastAsia" w:cstheme="majorBidi"/>
      <w:b/>
      <w:bCs/>
      <w:sz w:val="40"/>
      <w:szCs w:val="4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F7789"/>
    <w:pPr>
      <w:keepNext/>
      <w:keepLines/>
      <w:spacing w:before="160" w:after="80"/>
      <w:outlineLvl w:val="1"/>
    </w:pPr>
    <w:rPr>
      <w:rFonts w:eastAsiaTheme="majorEastAsia" w:cstheme="majorBidi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0B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0B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0B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0B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0B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0B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0B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5D36"/>
    <w:rPr>
      <w:rFonts w:ascii="Times New Roman" w:eastAsiaTheme="majorEastAsia" w:hAnsi="Times New Roman" w:cstheme="majorBidi"/>
      <w:b/>
      <w:bCs/>
      <w:sz w:val="40"/>
      <w:szCs w:val="4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F7789"/>
    <w:rPr>
      <w:rFonts w:ascii="Times New Roman" w:eastAsiaTheme="majorEastAsia" w:hAnsi="Times New Roman" w:cstheme="majorBidi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0B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0B3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0B3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0B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0B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0B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0B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0B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0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0B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0B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0B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0B3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0B3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0B3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0B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0B3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0B3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2F778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tabela">
    <w:name w:val="Podpis tabela"/>
    <w:link w:val="PodpistabelaZnak"/>
    <w:qFormat/>
    <w:rsid w:val="002F7789"/>
    <w:pPr>
      <w:keepNext/>
      <w:spacing w:line="360" w:lineRule="auto"/>
      <w:jc w:val="center"/>
    </w:pPr>
    <w:rPr>
      <w:rFonts w:ascii="Times New Roman" w:hAnsi="Times New Roman"/>
      <w:i/>
      <w:iCs/>
      <w:color w:val="0E2841" w:themeColor="text2"/>
      <w:szCs w:val="18"/>
      <w:lang w:val="en-GB"/>
    </w:rPr>
  </w:style>
  <w:style w:type="character" w:customStyle="1" w:styleId="PodpistabelaZnak">
    <w:name w:val="Podpis tabela Znak"/>
    <w:basedOn w:val="Domylnaczcionkaakapitu"/>
    <w:link w:val="Podpistabela"/>
    <w:rsid w:val="002F7789"/>
    <w:rPr>
      <w:rFonts w:ascii="Times New Roman" w:hAnsi="Times New Roman"/>
      <w:i/>
      <w:iCs/>
      <w:color w:val="0E2841" w:themeColor="text2"/>
      <w:szCs w:val="18"/>
      <w:lang w:val="en-GB"/>
    </w:rPr>
  </w:style>
  <w:style w:type="paragraph" w:styleId="Legenda">
    <w:name w:val="caption"/>
    <w:basedOn w:val="Normalny"/>
    <w:next w:val="Normalny"/>
    <w:uiPriority w:val="35"/>
    <w:unhideWhenUsed/>
    <w:qFormat/>
    <w:rsid w:val="00683A08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683A08"/>
    <w:pPr>
      <w:spacing w:before="100" w:beforeAutospacing="1" w:after="100" w:afterAutospacing="1" w:line="240" w:lineRule="auto"/>
      <w:jc w:val="left"/>
    </w:pPr>
    <w:rPr>
      <w:rFonts w:eastAsia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83A08"/>
    <w:rPr>
      <w:b/>
      <w:bCs/>
    </w:rPr>
  </w:style>
  <w:style w:type="table" w:styleId="Tabelasiatki7kolorowa">
    <w:name w:val="Grid Table 7 Colorful"/>
    <w:basedOn w:val="Standardowy"/>
    <w:uiPriority w:val="52"/>
    <w:rsid w:val="00683A0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683A08"/>
    <w:pPr>
      <w:spacing w:before="240" w:after="0" w:line="259" w:lineRule="auto"/>
      <w:jc w:val="left"/>
      <w:outlineLvl w:val="9"/>
    </w:pPr>
    <w:rPr>
      <w:rFonts w:asciiTheme="majorHAnsi" w:hAnsiTheme="majorHAnsi"/>
      <w:color w:val="0F4761" w:themeColor="accent1" w:themeShade="BF"/>
      <w:kern w:val="0"/>
      <w:sz w:val="32"/>
      <w:szCs w:val="32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683A0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83A08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683A08"/>
    <w:rPr>
      <w:color w:val="467886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hAnsi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287473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5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603C6-B6DF-4778-AFDF-EE60C2A45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3010</Words>
  <Characters>18065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Sławek</dc:creator>
  <cp:keywords/>
  <dc:description/>
  <cp:lastModifiedBy>Małgorzata Moras</cp:lastModifiedBy>
  <cp:revision>4</cp:revision>
  <dcterms:created xsi:type="dcterms:W3CDTF">2025-05-30T11:57:00Z</dcterms:created>
  <dcterms:modified xsi:type="dcterms:W3CDTF">2025-07-18T12:14:00Z</dcterms:modified>
</cp:coreProperties>
</file>